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DD3D" w14:textId="77777777" w:rsidR="00BD1237" w:rsidRDefault="00000000">
      <w:pPr>
        <w:jc w:val="center"/>
        <w:rPr>
          <w:sz w:val="32"/>
          <w:szCs w:val="32"/>
        </w:rPr>
      </w:pPr>
      <w:r>
        <w:rPr>
          <w:rFonts w:ascii="Arial" w:hAnsi="Arial"/>
          <w:b/>
          <w:bCs/>
          <w:sz w:val="32"/>
          <w:szCs w:val="32"/>
        </w:rPr>
        <w:t>Small Grant Scheme</w:t>
      </w:r>
    </w:p>
    <w:p w14:paraId="7C2534A3" w14:textId="77777777" w:rsidR="00BD1237" w:rsidRDefault="00000000">
      <w:pPr>
        <w:jc w:val="center"/>
        <w:rPr>
          <w:sz w:val="32"/>
          <w:szCs w:val="32"/>
        </w:rPr>
      </w:pPr>
      <w:r>
        <w:rPr>
          <w:rFonts w:ascii="Arial" w:hAnsi="Arial"/>
          <w:b/>
          <w:bCs/>
          <w:sz w:val="32"/>
          <w:szCs w:val="32"/>
        </w:rPr>
        <w:t>Review of 2020 – 2025 Data</w:t>
      </w:r>
    </w:p>
    <w:p w14:paraId="3A615C5B" w14:textId="6F85061C" w:rsidR="00BD1237" w:rsidRDefault="00000000">
      <w:pPr>
        <w:jc w:val="both"/>
      </w:pPr>
      <w:r>
        <w:rPr>
          <w:rFonts w:ascii="Arial" w:hAnsi="Arial"/>
          <w:sz w:val="24"/>
          <w:szCs w:val="24"/>
        </w:rPr>
        <w:t>The Trust recent</w:t>
      </w:r>
      <w:r w:rsidR="00361E57">
        <w:rPr>
          <w:rFonts w:ascii="Arial" w:hAnsi="Arial"/>
          <w:sz w:val="24"/>
          <w:szCs w:val="24"/>
        </w:rPr>
        <w:t>ly</w:t>
      </w:r>
      <w:r w:rsidR="00322C39">
        <w:rPr>
          <w:rFonts w:ascii="Arial" w:hAnsi="Arial"/>
          <w:sz w:val="24"/>
          <w:szCs w:val="24"/>
        </w:rPr>
        <w:t xml:space="preserve"> </w:t>
      </w:r>
      <w:r>
        <w:rPr>
          <w:rFonts w:ascii="Arial" w:hAnsi="Arial"/>
          <w:sz w:val="24"/>
          <w:szCs w:val="24"/>
        </w:rPr>
        <w:t>carried out a review of their Small Grant Scheme which provides funding to individuals and groups based on an established set of criteria. We are pleased to share the key statistics from this review which demonstrates the level of support we have provided to help community members and groups.</w:t>
      </w:r>
    </w:p>
    <w:p w14:paraId="4420F4BD" w14:textId="77777777" w:rsidR="00BD1237" w:rsidRDefault="00000000">
      <w:pPr>
        <w:spacing w:after="0"/>
        <w:jc w:val="both"/>
      </w:pPr>
      <w:r>
        <w:rPr>
          <w:rFonts w:ascii="Arial" w:hAnsi="Arial"/>
          <w:sz w:val="24"/>
          <w:szCs w:val="24"/>
        </w:rPr>
        <w:t xml:space="preserve">There are five types of </w:t>
      </w:r>
      <w:proofErr w:type="gramStart"/>
      <w:r>
        <w:rPr>
          <w:rFonts w:ascii="Arial" w:hAnsi="Arial"/>
          <w:sz w:val="24"/>
          <w:szCs w:val="24"/>
        </w:rPr>
        <w:t>grant</w:t>
      </w:r>
      <w:proofErr w:type="gramEnd"/>
      <w:r>
        <w:rPr>
          <w:rFonts w:ascii="Arial" w:hAnsi="Arial"/>
          <w:sz w:val="24"/>
          <w:szCs w:val="24"/>
        </w:rPr>
        <w:t xml:space="preserve"> which are described on the Trust website with the relevant description and instructions to apply:</w:t>
      </w:r>
    </w:p>
    <w:p w14:paraId="3F59BCCB" w14:textId="77777777" w:rsidR="00BD1237" w:rsidRDefault="00000000">
      <w:pPr>
        <w:numPr>
          <w:ilvl w:val="1"/>
          <w:numId w:val="1"/>
        </w:numPr>
        <w:spacing w:after="0" w:line="240" w:lineRule="auto"/>
        <w:jc w:val="both"/>
      </w:pPr>
      <w:r>
        <w:rPr>
          <w:rFonts w:ascii="Arial" w:hAnsi="Arial"/>
          <w:sz w:val="24"/>
          <w:szCs w:val="24"/>
        </w:rPr>
        <w:t>Individual Sporting</w:t>
      </w:r>
    </w:p>
    <w:p w14:paraId="70AC922F" w14:textId="77777777" w:rsidR="00BD1237" w:rsidRDefault="00000000">
      <w:pPr>
        <w:numPr>
          <w:ilvl w:val="1"/>
          <w:numId w:val="1"/>
        </w:numPr>
        <w:spacing w:after="0" w:line="240" w:lineRule="auto"/>
        <w:jc w:val="both"/>
      </w:pPr>
      <w:r>
        <w:rPr>
          <w:rFonts w:ascii="Arial" w:hAnsi="Arial"/>
          <w:sz w:val="24"/>
          <w:szCs w:val="24"/>
        </w:rPr>
        <w:t>Large Group</w:t>
      </w:r>
    </w:p>
    <w:p w14:paraId="2770F822" w14:textId="77777777" w:rsidR="00BD1237" w:rsidRDefault="00000000">
      <w:pPr>
        <w:numPr>
          <w:ilvl w:val="1"/>
          <w:numId w:val="1"/>
        </w:numPr>
        <w:spacing w:after="0" w:line="240" w:lineRule="auto"/>
        <w:jc w:val="both"/>
      </w:pPr>
      <w:r>
        <w:rPr>
          <w:rFonts w:ascii="Arial" w:hAnsi="Arial"/>
          <w:sz w:val="24"/>
          <w:szCs w:val="24"/>
        </w:rPr>
        <w:t>Non-constituted Community Group</w:t>
      </w:r>
    </w:p>
    <w:p w14:paraId="33EBE8EC" w14:textId="77777777" w:rsidR="00BD1237" w:rsidRDefault="00000000">
      <w:pPr>
        <w:numPr>
          <w:ilvl w:val="1"/>
          <w:numId w:val="1"/>
        </w:numPr>
        <w:spacing w:after="0" w:line="240" w:lineRule="auto"/>
        <w:jc w:val="both"/>
      </w:pPr>
      <w:r>
        <w:rPr>
          <w:rFonts w:ascii="Arial" w:hAnsi="Arial"/>
          <w:sz w:val="24"/>
          <w:szCs w:val="24"/>
        </w:rPr>
        <w:t>Constituted Group</w:t>
      </w:r>
    </w:p>
    <w:p w14:paraId="7C5384E4" w14:textId="77777777" w:rsidR="00BD1237" w:rsidRDefault="00000000">
      <w:pPr>
        <w:numPr>
          <w:ilvl w:val="1"/>
          <w:numId w:val="1"/>
        </w:numPr>
        <w:spacing w:after="0" w:line="240" w:lineRule="auto"/>
        <w:jc w:val="both"/>
      </w:pPr>
      <w:r>
        <w:rPr>
          <w:rFonts w:ascii="Arial" w:hAnsi="Arial"/>
          <w:sz w:val="24"/>
          <w:szCs w:val="24"/>
        </w:rPr>
        <w:t>Student.</w:t>
      </w:r>
    </w:p>
    <w:p w14:paraId="2B1E12E5" w14:textId="77777777" w:rsidR="00BD1237" w:rsidRDefault="00BD1237">
      <w:pPr>
        <w:spacing w:after="0" w:line="240" w:lineRule="auto"/>
        <w:jc w:val="both"/>
        <w:rPr>
          <w:rFonts w:ascii="Arial" w:hAnsi="Arial"/>
          <w:sz w:val="24"/>
          <w:szCs w:val="24"/>
        </w:rPr>
      </w:pPr>
    </w:p>
    <w:p w14:paraId="3BC79C9B" w14:textId="77777777" w:rsidR="00BD1237" w:rsidRDefault="00000000">
      <w:pPr>
        <w:jc w:val="both"/>
        <w:rPr>
          <w:b/>
          <w:bCs/>
        </w:rPr>
      </w:pPr>
      <w:r>
        <w:rPr>
          <w:rFonts w:ascii="Arial" w:hAnsi="Arial"/>
          <w:b/>
          <w:bCs/>
          <w:sz w:val="24"/>
          <w:szCs w:val="24"/>
        </w:rPr>
        <w:t>Acknowledgement</w:t>
      </w:r>
    </w:p>
    <w:p w14:paraId="73CFAFBC" w14:textId="77777777" w:rsidR="00BD1237" w:rsidRDefault="00000000">
      <w:pPr>
        <w:jc w:val="both"/>
      </w:pPr>
      <w:r>
        <w:rPr>
          <w:rFonts w:ascii="Arial" w:hAnsi="Arial"/>
          <w:sz w:val="24"/>
          <w:szCs w:val="24"/>
        </w:rPr>
        <w:t xml:space="preserve">We thank the many funders who have contributed around 20% of the funds used to support the Small Grant Scheme. We appreciate your support and are very grateful for the contributions you have made over the last four years. So many thanks go to: </w:t>
      </w:r>
      <w:proofErr w:type="spellStart"/>
      <w:r>
        <w:rPr>
          <w:rFonts w:ascii="Arial" w:hAnsi="Arial"/>
          <w:sz w:val="24"/>
          <w:szCs w:val="24"/>
        </w:rPr>
        <w:t>Aberchalder</w:t>
      </w:r>
      <w:proofErr w:type="spellEnd"/>
      <w:r>
        <w:rPr>
          <w:rFonts w:ascii="Arial" w:hAnsi="Arial"/>
          <w:sz w:val="24"/>
          <w:szCs w:val="24"/>
        </w:rPr>
        <w:t xml:space="preserve">, </w:t>
      </w:r>
      <w:proofErr w:type="spellStart"/>
      <w:r>
        <w:rPr>
          <w:rFonts w:ascii="Arial" w:hAnsi="Arial"/>
          <w:sz w:val="24"/>
          <w:szCs w:val="24"/>
        </w:rPr>
        <w:t>Corriegarth</w:t>
      </w:r>
      <w:proofErr w:type="spellEnd"/>
      <w:r>
        <w:rPr>
          <w:rFonts w:ascii="Arial" w:hAnsi="Arial"/>
          <w:sz w:val="24"/>
          <w:szCs w:val="24"/>
        </w:rPr>
        <w:t xml:space="preserve">, </w:t>
      </w:r>
      <w:proofErr w:type="spellStart"/>
      <w:r>
        <w:rPr>
          <w:rFonts w:ascii="Arial" w:hAnsi="Arial"/>
          <w:sz w:val="24"/>
          <w:szCs w:val="24"/>
        </w:rPr>
        <w:t>Glendoe</w:t>
      </w:r>
      <w:proofErr w:type="spellEnd"/>
      <w:r>
        <w:rPr>
          <w:rFonts w:ascii="Arial" w:hAnsi="Arial"/>
          <w:sz w:val="24"/>
          <w:szCs w:val="24"/>
        </w:rPr>
        <w:t xml:space="preserve">, Green Highland, </w:t>
      </w:r>
      <w:proofErr w:type="spellStart"/>
      <w:r>
        <w:rPr>
          <w:rFonts w:ascii="Arial" w:hAnsi="Arial"/>
          <w:sz w:val="24"/>
          <w:szCs w:val="24"/>
        </w:rPr>
        <w:t>Knockie</w:t>
      </w:r>
      <w:proofErr w:type="spellEnd"/>
      <w:r>
        <w:rPr>
          <w:rFonts w:ascii="Arial" w:hAnsi="Arial"/>
          <w:sz w:val="24"/>
          <w:szCs w:val="24"/>
        </w:rPr>
        <w:t xml:space="preserve"> Trust and </w:t>
      </w:r>
      <w:proofErr w:type="spellStart"/>
      <w:r>
        <w:rPr>
          <w:rFonts w:ascii="Arial" w:hAnsi="Arial"/>
          <w:sz w:val="24"/>
          <w:szCs w:val="24"/>
        </w:rPr>
        <w:t>Stronelairg</w:t>
      </w:r>
      <w:proofErr w:type="spellEnd"/>
      <w:r>
        <w:rPr>
          <w:rFonts w:ascii="Arial" w:hAnsi="Arial"/>
          <w:sz w:val="24"/>
          <w:szCs w:val="24"/>
        </w:rPr>
        <w:t>.</w:t>
      </w:r>
    </w:p>
    <w:p w14:paraId="0195BFCE" w14:textId="77777777" w:rsidR="00BD1237" w:rsidRDefault="00BD1237">
      <w:pPr>
        <w:jc w:val="both"/>
        <w:rPr>
          <w:rFonts w:ascii="Arial" w:hAnsi="Arial"/>
          <w:sz w:val="24"/>
          <w:szCs w:val="24"/>
        </w:rPr>
      </w:pPr>
    </w:p>
    <w:p w14:paraId="68EBE2BA" w14:textId="77777777" w:rsidR="00BD1237" w:rsidRDefault="00000000">
      <w:pPr>
        <w:jc w:val="both"/>
        <w:rPr>
          <w:b/>
          <w:bCs/>
        </w:rPr>
      </w:pPr>
      <w:r>
        <w:rPr>
          <w:rFonts w:ascii="Arial" w:hAnsi="Arial"/>
          <w:b/>
          <w:bCs/>
          <w:sz w:val="24"/>
          <w:szCs w:val="24"/>
        </w:rPr>
        <w:t xml:space="preserve">Overall Results </w:t>
      </w:r>
    </w:p>
    <w:p w14:paraId="3C65EFCF" w14:textId="77777777" w:rsidR="00BD1237" w:rsidRDefault="00000000">
      <w:pPr>
        <w:jc w:val="both"/>
      </w:pPr>
      <w:r>
        <w:rPr>
          <w:rFonts w:ascii="Arial" w:hAnsi="Arial"/>
          <w:sz w:val="24"/>
          <w:szCs w:val="24"/>
        </w:rPr>
        <w:t>The data covers the period from 1</w:t>
      </w:r>
      <w:r>
        <w:rPr>
          <w:rFonts w:ascii="Arial" w:hAnsi="Arial"/>
          <w:sz w:val="24"/>
          <w:szCs w:val="24"/>
          <w:vertAlign w:val="superscript"/>
        </w:rPr>
        <w:t>st</w:t>
      </w:r>
      <w:r>
        <w:rPr>
          <w:rFonts w:ascii="Arial" w:hAnsi="Arial"/>
          <w:sz w:val="24"/>
          <w:szCs w:val="24"/>
        </w:rPr>
        <w:t xml:space="preserve"> July 2020 to 19</w:t>
      </w:r>
      <w:r>
        <w:rPr>
          <w:rFonts w:ascii="Arial" w:hAnsi="Arial"/>
          <w:sz w:val="24"/>
          <w:szCs w:val="24"/>
          <w:vertAlign w:val="superscript"/>
        </w:rPr>
        <w:t>th</w:t>
      </w:r>
      <w:r>
        <w:rPr>
          <w:rFonts w:ascii="Arial" w:hAnsi="Arial"/>
          <w:sz w:val="24"/>
          <w:szCs w:val="24"/>
        </w:rPr>
        <w:t xml:space="preserve"> February 2025. In total 199 grants were awarded and £446,232 of funding was provided. </w:t>
      </w:r>
    </w:p>
    <w:p w14:paraId="2DADAF44" w14:textId="77777777" w:rsidR="00BD1237" w:rsidRDefault="00000000">
      <w:pPr>
        <w:spacing w:after="0"/>
        <w:jc w:val="both"/>
        <w:rPr>
          <w:rFonts w:ascii="Arial" w:hAnsi="Arial"/>
          <w:sz w:val="24"/>
          <w:szCs w:val="24"/>
        </w:rPr>
      </w:pPr>
      <w:r>
        <w:rPr>
          <w:rFonts w:ascii="Arial" w:hAnsi="Arial"/>
          <w:sz w:val="24"/>
          <w:szCs w:val="24"/>
        </w:rPr>
        <w:t xml:space="preserve">73% of grants were given to individuals as Student or Sporting awards amounting to 13.2% of the funds distributed, </w:t>
      </w:r>
      <w:proofErr w:type="gramStart"/>
      <w:r>
        <w:rPr>
          <w:rFonts w:ascii="Arial" w:hAnsi="Arial"/>
          <w:sz w:val="24"/>
          <w:szCs w:val="24"/>
        </w:rPr>
        <w:t>whereas,</w:t>
      </w:r>
      <w:proofErr w:type="gramEnd"/>
      <w:r>
        <w:rPr>
          <w:rFonts w:ascii="Arial" w:hAnsi="Arial"/>
          <w:sz w:val="24"/>
          <w:szCs w:val="24"/>
        </w:rPr>
        <w:t xml:space="preserve"> 27% of grants, totalling 86.8% of the funds, were distributed to Groups.</w:t>
      </w:r>
    </w:p>
    <w:p w14:paraId="7B29A016" w14:textId="77777777" w:rsidR="00BD1237" w:rsidRDefault="00BD1237">
      <w:pPr>
        <w:spacing w:after="0"/>
        <w:jc w:val="both"/>
        <w:rPr>
          <w:rFonts w:ascii="Arial" w:hAnsi="Arial"/>
          <w:sz w:val="24"/>
          <w:szCs w:val="24"/>
        </w:rPr>
      </w:pPr>
    </w:p>
    <w:p w14:paraId="06EF6AC6" w14:textId="77777777" w:rsidR="00BD1237" w:rsidRDefault="00000000">
      <w:pPr>
        <w:spacing w:after="0"/>
        <w:jc w:val="both"/>
        <w:rPr>
          <w:rFonts w:ascii="Arial" w:hAnsi="Arial"/>
          <w:sz w:val="24"/>
          <w:szCs w:val="24"/>
        </w:rPr>
      </w:pPr>
      <w:r>
        <w:rPr>
          <w:rFonts w:ascii="Arial" w:hAnsi="Arial"/>
          <w:sz w:val="24"/>
          <w:szCs w:val="24"/>
        </w:rPr>
        <w:t>The two pie charts below illustrate the totals by number of grants and amount by grant type.</w:t>
      </w:r>
    </w:p>
    <w:p w14:paraId="29DFEE4B" w14:textId="77777777" w:rsidR="00BD1237" w:rsidRDefault="00BD1237">
      <w:pPr>
        <w:spacing w:after="0"/>
        <w:jc w:val="both"/>
        <w:rPr>
          <w:rFonts w:ascii="Arial" w:hAnsi="Arial"/>
          <w:sz w:val="24"/>
          <w:szCs w:val="24"/>
        </w:rPr>
      </w:pPr>
    </w:p>
    <w:p w14:paraId="0EC58E36" w14:textId="77777777" w:rsidR="00BD1237" w:rsidRDefault="00BD1237">
      <w:pPr>
        <w:spacing w:after="0"/>
        <w:jc w:val="both"/>
        <w:rPr>
          <w:rFonts w:ascii="Arial" w:hAnsi="Arial"/>
          <w:sz w:val="24"/>
          <w:szCs w:val="24"/>
        </w:rPr>
      </w:pPr>
    </w:p>
    <w:p w14:paraId="4BED74B9" w14:textId="7B58575E" w:rsidR="00BD1237" w:rsidRDefault="00000000">
      <w:pPr>
        <w:spacing w:after="0"/>
        <w:jc w:val="both"/>
        <w:rPr>
          <w:rFonts w:ascii="Arial" w:hAnsi="Arial"/>
          <w:sz w:val="24"/>
          <w:szCs w:val="24"/>
        </w:rPr>
      </w:pPr>
      <w:r>
        <w:rPr>
          <w:noProof/>
        </w:rPr>
        <w:lastRenderedPageBreak/>
        <w:pict w14:anchorId="1024DE1C">
          <v:rect id="Frame2" o:spid="_x0000_s1033" style="position:absolute;left:0;text-align:left;margin-left:0;margin-top:.05pt;width:453.55pt;height:284.15pt;z-index:9;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" o:allowincell="f" strokeweight="0">
            <v:textbox inset=".49mm,.49mm,.49mm,.49mm">
              <w:txbxContent>
                <w:p w14:paraId="4520531A" w14:textId="77777777" w:rsidR="00BD1237" w:rsidRDefault="00000000">
                  <w:pPr>
                    <w:pStyle w:val="Caption"/>
                  </w:pPr>
                  <w:r>
                    <w:t>Pie Chart 1</w:t>
                  </w:r>
                  <w:r>
                    <w:rPr>
                      <w:noProof/>
                    </w:rPr>
                    <w:drawing>
                      <wp:inline distT="0" distB="0" distL="0" distR="0" wp14:anchorId="29673506" wp14:editId="7769DEEC">
                        <wp:extent cx="5723255" cy="3218815"/>
                        <wp:effectExtent l="0" t="0" r="0" b="0"/>
                        <wp:docPr id="3"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wrap type="topAndBottom"/>
          </v:rect>
        </w:pict>
      </w:r>
    </w:p>
    <w:p w14:paraId="6FA3C581" w14:textId="77777777" w:rsidR="00BD1237" w:rsidRDefault="00BD1237">
      <w:pPr>
        <w:rPr>
          <w:rFonts w:ascii="Arial" w:hAnsi="Arial"/>
          <w:b/>
          <w:bCs/>
          <w:sz w:val="26"/>
          <w:szCs w:val="26"/>
        </w:rPr>
      </w:pPr>
    </w:p>
    <w:p w14:paraId="78DCE011" w14:textId="79A31676" w:rsidR="00BD1237" w:rsidRDefault="00000000">
      <w:pPr>
        <w:rPr>
          <w:rFonts w:ascii="Arial" w:hAnsi="Arial"/>
          <w:b/>
          <w:bCs/>
          <w:sz w:val="26"/>
          <w:szCs w:val="26"/>
        </w:rPr>
      </w:pPr>
      <w:r>
        <w:rPr>
          <w:noProof/>
        </w:rPr>
        <w:pict w14:anchorId="7F303CD9">
          <v:rect id="Frame1" o:spid="_x0000_s1032" style="position:absolute;margin-left:0;margin-top:.05pt;width:453.55pt;height:284.15pt;z-index:11;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" o:allowincell="f" strokeweight="0">
            <v:textbox inset=".49mm,.49mm,.49mm,.49mm">
              <w:txbxContent>
                <w:p w14:paraId="7B9162D0" w14:textId="77777777" w:rsidR="00BD1237" w:rsidRDefault="00000000">
                  <w:pPr>
                    <w:pStyle w:val="Caption"/>
                  </w:pPr>
                  <w:r>
                    <w:t>Pie Chart 2</w:t>
                  </w:r>
                  <w:r>
                    <w:rPr>
                      <w:noProof/>
                    </w:rPr>
                    <w:drawing>
                      <wp:inline distT="0" distB="0" distL="0" distR="0" wp14:anchorId="339A0955" wp14:editId="3764D6A0">
                        <wp:extent cx="5723255" cy="3218815"/>
                        <wp:effectExtent l="0" t="0" r="0" b="0"/>
                        <wp:docPr id="4"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w10:wrap type="square" side="largest"/>
          </v:rect>
        </w:pict>
      </w:r>
    </w:p>
    <w:p w14:paraId="4C8CF645" w14:textId="77777777" w:rsidR="00BD1237" w:rsidRDefault="00BD1237">
      <w:pPr>
        <w:rPr>
          <w:rFonts w:ascii="Arial" w:hAnsi="Arial"/>
          <w:b/>
          <w:bCs/>
          <w:sz w:val="26"/>
          <w:szCs w:val="26"/>
        </w:rPr>
      </w:pPr>
    </w:p>
    <w:p w14:paraId="56D085EA" w14:textId="77777777" w:rsidR="00BD1237" w:rsidRDefault="00000000">
      <w:pPr>
        <w:spacing w:after="0"/>
        <w:jc w:val="both"/>
      </w:pPr>
      <w:r>
        <w:rPr>
          <w:rFonts w:ascii="Arial" w:hAnsi="Arial"/>
          <w:b/>
          <w:bCs/>
          <w:sz w:val="24"/>
          <w:szCs w:val="24"/>
        </w:rPr>
        <w:lastRenderedPageBreak/>
        <w:t>Distribution of Grants to Groups.</w:t>
      </w:r>
    </w:p>
    <w:p w14:paraId="18AE3B7A" w14:textId="77777777" w:rsidR="00BD1237" w:rsidRDefault="00BD1237">
      <w:pPr>
        <w:spacing w:after="0"/>
        <w:jc w:val="both"/>
        <w:rPr>
          <w:rFonts w:ascii="Arial" w:hAnsi="Arial"/>
          <w:sz w:val="24"/>
          <w:szCs w:val="24"/>
        </w:rPr>
      </w:pPr>
    </w:p>
    <w:p w14:paraId="6F2C6626" w14:textId="4E2B34A1" w:rsidR="00BD1237" w:rsidRDefault="00000000">
      <w:pPr>
        <w:spacing w:after="0"/>
        <w:jc w:val="both"/>
        <w:rPr>
          <w:rFonts w:ascii="Arial" w:hAnsi="Arial"/>
          <w:sz w:val="24"/>
          <w:szCs w:val="24"/>
        </w:rPr>
      </w:pPr>
      <w:r>
        <w:rPr>
          <w:noProof/>
        </w:rPr>
        <w:pict w14:anchorId="0B0A8DD7">
          <v:rect id="Frame3" o:spid="_x0000_s1031" style="position:absolute;left:0;text-align:left;margin-left:0;margin-top:.05pt;width:453.55pt;height:278.15pt;z-index:13;visibility:visible;mso-wrap-style:square;mso-wrap-distance-left:0;mso-wrap-distance-top:0;mso-wrap-distance-right:0;mso-wrap-distance-bottom:.05pt;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" o:allowincell="f" strokeweight="0">
            <v:textbox inset=".49mm,.49mm,.49mm,.49mm">
              <w:txbxContent>
                <w:p w14:paraId="7DF8A5E6" w14:textId="77777777" w:rsidR="00BD1237" w:rsidRDefault="00000000">
                  <w:pPr>
                    <w:pStyle w:val="Caption"/>
                  </w:pPr>
                  <w:r>
                    <w:rPr>
                      <w:noProof/>
                    </w:rPr>
                    <w:drawing>
                      <wp:inline distT="0" distB="0" distL="0" distR="0" wp14:anchorId="328A7C50" wp14:editId="05CFC7C8">
                        <wp:extent cx="5723255" cy="3218815"/>
                        <wp:effectExtent l="0" t="0" r="0" b="0"/>
                        <wp:docPr id="5" name="Object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Pie Chart 3</w:t>
                  </w:r>
                </w:p>
              </w:txbxContent>
            </v:textbox>
            <w10:wrap type="square" side="largest"/>
          </v:rect>
        </w:pict>
      </w:r>
    </w:p>
    <w:p w14:paraId="1557ADCD" w14:textId="6CDEBE1D" w:rsidR="00BD1237" w:rsidRDefault="00000000">
      <w:pPr>
        <w:spacing w:after="0"/>
        <w:jc w:val="both"/>
        <w:rPr>
          <w:rFonts w:ascii="Arial" w:hAnsi="Arial"/>
          <w:sz w:val="24"/>
          <w:szCs w:val="24"/>
        </w:rPr>
      </w:pPr>
      <w:r>
        <w:pict w14:anchorId="1390C65F">
          <v:rect id="Frame 2" o:spid="_x0000_s1037" style="width:453.55pt;height:292.6pt;visibility:visible;mso-wrap-style:square;mso-left-percent:-10001;mso-top-percent:-10001;mso-position-horizontal:absolute;mso-position-horizontal-relative:char;mso-position-vertical:absolute;mso-position-vertical-relative:line;mso-left-percent:-10001;mso-top-percent:-10001;v-text-anchor:top" strokeweight="0">
            <v:textbox inset=".49mm,.49mm,.49mm,.49mm">
              <w:txbxContent>
                <w:p w14:paraId="1C4D89F4" w14:textId="77777777" w:rsidR="00BD1237" w:rsidRDefault="00000000">
                  <w:pPr>
                    <w:pStyle w:val="Caption"/>
                  </w:pPr>
                  <w:r>
                    <w:t>Pie Chart 4</w:t>
                  </w:r>
                  <w:r>
                    <w:rPr>
                      <w:noProof/>
                    </w:rPr>
                    <w:drawing>
                      <wp:inline distT="0" distB="0" distL="0" distR="0" wp14:anchorId="0F2FF869" wp14:editId="3E5982D3">
                        <wp:extent cx="5666105" cy="3218815"/>
                        <wp:effectExtent l="0" t="0" r="0" b="0"/>
                        <wp:docPr id="6" name="Object5" descr="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w10:anchorlock/>
          </v:rect>
        </w:pict>
      </w:r>
    </w:p>
    <w:p w14:paraId="5FB35DD3" w14:textId="77777777" w:rsidR="00BD1237" w:rsidRDefault="00BD1237">
      <w:pPr>
        <w:spacing w:after="0"/>
        <w:jc w:val="both"/>
        <w:rPr>
          <w:rFonts w:ascii="Arial" w:hAnsi="Arial"/>
          <w:sz w:val="24"/>
          <w:szCs w:val="24"/>
        </w:rPr>
      </w:pPr>
    </w:p>
    <w:p w14:paraId="7F234502" w14:textId="77777777" w:rsidR="00BD1237" w:rsidRDefault="00BD1237">
      <w:pPr>
        <w:spacing w:after="0"/>
        <w:jc w:val="both"/>
        <w:rPr>
          <w:rFonts w:ascii="Arial" w:hAnsi="Arial"/>
          <w:sz w:val="24"/>
          <w:szCs w:val="24"/>
        </w:rPr>
      </w:pPr>
    </w:p>
    <w:p w14:paraId="071B6A5F" w14:textId="0535A4B9" w:rsidR="00BD1237" w:rsidRDefault="00000000">
      <w:pPr>
        <w:spacing w:after="0"/>
        <w:jc w:val="both"/>
        <w:rPr>
          <w:rFonts w:ascii="Arial" w:hAnsi="Arial"/>
          <w:sz w:val="24"/>
          <w:szCs w:val="24"/>
        </w:rPr>
      </w:pPr>
      <w:r>
        <w:rPr>
          <w:noProof/>
        </w:rPr>
        <w:lastRenderedPageBreak/>
        <w:pict w14:anchorId="2EB2EBB7">
          <v:shapetype id="_x0000_t202" coordsize="21600,21600" o:spt="202" path="m,l,21600r21600,l21600,xe">
            <v:stroke joinstyle="miter"/>
            <v:path gradientshapeok="t" o:connecttype="rect"/>
          </v:shapetype>
          <v:shape id="Frame5" o:spid="_x0000_s1029" type="#_x0000_t202" style="position:absolute;left:0;text-align:left;margin-left:0;margin-top:.05pt;width:453.4pt;height:284.2pt;z-index:30;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" o:allowincell="f">
            <v:textbox inset="1.4pt,1.4pt,1.4pt,1.4pt">
              <w:txbxContent>
                <w:p w14:paraId="7B032AD5" w14:textId="77777777" w:rsidR="00BD1237" w:rsidRDefault="00000000">
                  <w:pPr>
                    <w:pStyle w:val="Caption"/>
                  </w:pPr>
                  <w:r>
                    <w:t>Bar Chart 1</w:t>
                  </w:r>
                  <w:r>
                    <w:rPr>
                      <w:noProof/>
                    </w:rPr>
                    <w:drawing>
                      <wp:inline distT="0" distB="0" distL="0" distR="0" wp14:anchorId="0AFCB8B7" wp14:editId="1C46F2B7">
                        <wp:extent cx="5721350" cy="3219450"/>
                        <wp:effectExtent l="0" t="0" r="0" b="0"/>
                        <wp:docPr id="1827800115" name="Object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w10:wrap type="square" side="largest"/>
          </v:shape>
        </w:pict>
      </w:r>
    </w:p>
    <w:p w14:paraId="41CC6FBD" w14:textId="77777777" w:rsidR="00BD1237" w:rsidRDefault="00BD1237">
      <w:pPr>
        <w:spacing w:after="0"/>
        <w:jc w:val="both"/>
        <w:rPr>
          <w:rFonts w:ascii="Arial" w:hAnsi="Arial"/>
          <w:sz w:val="24"/>
          <w:szCs w:val="24"/>
        </w:rPr>
      </w:pPr>
    </w:p>
    <w:p w14:paraId="5AE78C76" w14:textId="77777777" w:rsidR="00BD1237" w:rsidRDefault="00000000">
      <w:pPr>
        <w:spacing w:after="0"/>
        <w:jc w:val="both"/>
        <w:rPr>
          <w:rFonts w:ascii="Arial" w:hAnsi="Arial"/>
          <w:sz w:val="24"/>
          <w:szCs w:val="24"/>
        </w:rPr>
      </w:pPr>
      <w:r>
        <w:rPr>
          <w:rFonts w:ascii="Arial" w:hAnsi="Arial"/>
          <w:sz w:val="24"/>
          <w:szCs w:val="24"/>
        </w:rPr>
        <w:t>The major beneficiaries of the group funding, who received 72.2% of the funding awarded to groups, are detailed in this table</w:t>
      </w:r>
      <w:r>
        <w:t>:</w:t>
      </w:r>
    </w:p>
    <w:p w14:paraId="00046CCD" w14:textId="77777777" w:rsidR="00BD1237" w:rsidRDefault="00000000">
      <w:pPr>
        <w:spacing w:after="0"/>
        <w:jc w:val="both"/>
        <w:rPr>
          <w:rFonts w:ascii="Arial" w:hAnsi="Arial"/>
          <w:sz w:val="24"/>
          <w:szCs w:val="24"/>
        </w:rPr>
      </w:pPr>
      <w:r>
        <w:rPr>
          <w:rFonts w:ascii="Arial" w:hAnsi="Arial"/>
          <w:noProof/>
          <w:sz w:val="24"/>
          <w:szCs w:val="24"/>
        </w:rPr>
        <w:drawing>
          <wp:anchor distT="0" distB="0" distL="0" distR="0" simplePos="0" relativeHeight="8" behindDoc="0" locked="0" layoutInCell="0" allowOverlap="1" wp14:anchorId="7CAFC7D4" wp14:editId="7E921768">
            <wp:simplePos x="0" y="0"/>
            <wp:positionH relativeFrom="column">
              <wp:posOffset>1854835</wp:posOffset>
            </wp:positionH>
            <wp:positionV relativeFrom="paragraph">
              <wp:posOffset>94615</wp:posOffset>
            </wp:positionV>
            <wp:extent cx="2667000" cy="1524635"/>
            <wp:effectExtent l="0" t="0" r="0" b="0"/>
            <wp:wrapSquare wrapText="left"/>
            <wp:docPr id="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pic:cNvPicPr>
                      <a:picLocks noChangeAspect="1" noChangeArrowheads="1"/>
                    </pic:cNvPicPr>
                  </pic:nvPicPr>
                  <pic:blipFill>
                    <a:blip r:embed="rId12"/>
                    <a:stretch>
                      <a:fillRect/>
                    </a:stretch>
                  </pic:blipFill>
                  <pic:spPr bwMode="auto">
                    <a:xfrm>
                      <a:off x="0" y="0"/>
                      <a:ext cx="2667000" cy="1524635"/>
                    </a:xfrm>
                    <a:prstGeom prst="rect">
                      <a:avLst/>
                    </a:prstGeom>
                    <a:noFill/>
                  </pic:spPr>
                </pic:pic>
              </a:graphicData>
            </a:graphic>
          </wp:anchor>
        </w:drawing>
      </w:r>
    </w:p>
    <w:p w14:paraId="44CEB775" w14:textId="77777777" w:rsidR="00BD1237" w:rsidRDefault="00BD1237">
      <w:pPr>
        <w:spacing w:after="0"/>
        <w:jc w:val="both"/>
        <w:rPr>
          <w:rFonts w:ascii="Arial" w:hAnsi="Arial"/>
          <w:sz w:val="24"/>
          <w:szCs w:val="24"/>
        </w:rPr>
      </w:pPr>
    </w:p>
    <w:p w14:paraId="4960EC2E" w14:textId="77777777" w:rsidR="00BD1237" w:rsidRDefault="00BD1237">
      <w:pPr>
        <w:spacing w:after="0"/>
        <w:jc w:val="both"/>
        <w:rPr>
          <w:rFonts w:ascii="Arial" w:hAnsi="Arial"/>
          <w:sz w:val="24"/>
          <w:szCs w:val="24"/>
        </w:rPr>
      </w:pPr>
    </w:p>
    <w:p w14:paraId="26517EE6" w14:textId="46D80D6C" w:rsidR="00BD1237" w:rsidRDefault="00000000">
      <w:pPr>
        <w:spacing w:after="0"/>
        <w:jc w:val="both"/>
        <w:rPr>
          <w:rFonts w:ascii="Arial" w:hAnsi="Arial"/>
          <w:sz w:val="24"/>
          <w:szCs w:val="24"/>
        </w:rPr>
      </w:pPr>
      <w:r>
        <w:rPr>
          <w:noProof/>
        </w:rPr>
        <w:pict w14:anchorId="475CEEE1">
          <v:shape id="Text Box 2" o:spid="_x0000_s1036" type="#_x0000_t202" style="position:absolute;left:0;text-align:left;margin-left:146.5pt;margin-top:9.85pt;width:149pt;height:25.3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">
            <v:textbox style="mso-next-textbox:#Text Box 2">
              <w:txbxContent>
                <w:p w14:paraId="4A852A0F" w14:textId="7F7633D6" w:rsidR="00322C39" w:rsidRPr="00322C39" w:rsidRDefault="00322C39">
                  <w:pPr>
                    <w:rPr>
                      <w:rFonts w:ascii="Tahoma" w:hAnsi="Tahoma"/>
                      <w:sz w:val="20"/>
                      <w:szCs w:val="20"/>
                    </w:rPr>
                  </w:pPr>
                  <w:r w:rsidRPr="00322C39">
                    <w:rPr>
                      <w:rFonts w:ascii="Tahoma" w:hAnsi="Tahoma"/>
                      <w:sz w:val="20"/>
                      <w:szCs w:val="20"/>
                    </w:rPr>
                    <w:t>Stratherrick Public Hall</w:t>
                  </w:r>
                </w:p>
              </w:txbxContent>
            </v:textbox>
            <w10:wrap type="square"/>
          </v:shape>
        </w:pict>
      </w:r>
    </w:p>
    <w:p w14:paraId="1F7DFD65" w14:textId="77777777" w:rsidR="00BD1237" w:rsidRDefault="00BD1237">
      <w:pPr>
        <w:spacing w:after="0"/>
        <w:jc w:val="both"/>
        <w:rPr>
          <w:rFonts w:ascii="Arial" w:hAnsi="Arial"/>
          <w:sz w:val="24"/>
          <w:szCs w:val="24"/>
        </w:rPr>
      </w:pPr>
    </w:p>
    <w:p w14:paraId="3F6EDC3D" w14:textId="528B58BC" w:rsidR="00BD1237" w:rsidRDefault="00BD1237">
      <w:pPr>
        <w:spacing w:after="0"/>
        <w:jc w:val="both"/>
        <w:rPr>
          <w:rFonts w:ascii="Arial" w:hAnsi="Arial"/>
          <w:sz w:val="24"/>
          <w:szCs w:val="24"/>
        </w:rPr>
      </w:pPr>
    </w:p>
    <w:p w14:paraId="1B03F41E" w14:textId="77777777" w:rsidR="00BD1237" w:rsidRDefault="00BD1237">
      <w:pPr>
        <w:spacing w:after="0"/>
        <w:jc w:val="both"/>
        <w:rPr>
          <w:rFonts w:ascii="Arial" w:hAnsi="Arial"/>
          <w:sz w:val="24"/>
          <w:szCs w:val="24"/>
        </w:rPr>
      </w:pPr>
    </w:p>
    <w:p w14:paraId="01B8E238" w14:textId="77777777" w:rsidR="00BD1237" w:rsidRDefault="00BD1237">
      <w:pPr>
        <w:spacing w:after="0"/>
        <w:jc w:val="both"/>
        <w:rPr>
          <w:rFonts w:ascii="Arial" w:hAnsi="Arial"/>
          <w:sz w:val="24"/>
          <w:szCs w:val="24"/>
        </w:rPr>
      </w:pPr>
    </w:p>
    <w:p w14:paraId="2CCB1E1D" w14:textId="77777777" w:rsidR="00BD1237" w:rsidRDefault="00BD1237">
      <w:pPr>
        <w:spacing w:after="0"/>
        <w:jc w:val="both"/>
        <w:rPr>
          <w:rFonts w:ascii="Arial" w:hAnsi="Arial"/>
          <w:sz w:val="24"/>
          <w:szCs w:val="24"/>
        </w:rPr>
      </w:pPr>
    </w:p>
    <w:p w14:paraId="074F18FB" w14:textId="1219FB33" w:rsidR="00BD1237" w:rsidRDefault="00BD1237">
      <w:pPr>
        <w:spacing w:after="0"/>
        <w:jc w:val="both"/>
        <w:rPr>
          <w:rFonts w:ascii="Arial" w:hAnsi="Arial"/>
          <w:sz w:val="24"/>
          <w:szCs w:val="24"/>
        </w:rPr>
      </w:pPr>
    </w:p>
    <w:p w14:paraId="007E0285" w14:textId="3561CA34" w:rsidR="00BD1237" w:rsidRDefault="00000000">
      <w:pPr>
        <w:spacing w:after="0"/>
        <w:jc w:val="both"/>
        <w:rPr>
          <w:b/>
          <w:bCs/>
        </w:rPr>
      </w:pPr>
      <w:r>
        <w:br w:type="page"/>
      </w:r>
    </w:p>
    <w:p w14:paraId="7D3357AB" w14:textId="77777777" w:rsidR="00BD1237" w:rsidRDefault="00000000">
      <w:pPr>
        <w:spacing w:after="0"/>
        <w:jc w:val="both"/>
        <w:rPr>
          <w:b/>
          <w:bCs/>
        </w:rPr>
      </w:pPr>
      <w:r>
        <w:rPr>
          <w:rFonts w:ascii="Arial" w:hAnsi="Arial"/>
          <w:b/>
          <w:bCs/>
          <w:sz w:val="24"/>
          <w:szCs w:val="24"/>
        </w:rPr>
        <w:lastRenderedPageBreak/>
        <w:t>Distribution of Grants to Individuals.</w:t>
      </w:r>
    </w:p>
    <w:p w14:paraId="35B73388" w14:textId="77777777" w:rsidR="00BD1237" w:rsidRDefault="00BD1237">
      <w:pPr>
        <w:spacing w:after="0"/>
        <w:jc w:val="both"/>
        <w:rPr>
          <w:rFonts w:ascii="Arial" w:hAnsi="Arial"/>
          <w:sz w:val="24"/>
          <w:szCs w:val="24"/>
        </w:rPr>
      </w:pPr>
    </w:p>
    <w:p w14:paraId="5040C9E3" w14:textId="77777777" w:rsidR="00BD1237" w:rsidRDefault="00000000">
      <w:pPr>
        <w:spacing w:after="0"/>
        <w:jc w:val="both"/>
        <w:rPr>
          <w:rFonts w:ascii="Arial" w:hAnsi="Arial"/>
          <w:sz w:val="24"/>
          <w:szCs w:val="24"/>
        </w:rPr>
      </w:pPr>
      <w:r>
        <w:rPr>
          <w:rFonts w:ascii="Arial" w:hAnsi="Arial"/>
          <w:sz w:val="24"/>
          <w:szCs w:val="24"/>
        </w:rPr>
        <w:t>The charts below summarise the data for grants to individuals for help with educational and sporting expenses up to £500 in any single year. As the data shows, 76 individuals (71 student and 5 sporting) have received funding to help them in their personal aspirations.</w:t>
      </w:r>
    </w:p>
    <w:p w14:paraId="608DEF5E" w14:textId="77777777" w:rsidR="00BD1237" w:rsidRDefault="00BD1237">
      <w:pPr>
        <w:spacing w:after="0"/>
        <w:jc w:val="both"/>
        <w:rPr>
          <w:rFonts w:ascii="Arial" w:hAnsi="Arial"/>
          <w:sz w:val="24"/>
          <w:szCs w:val="24"/>
        </w:rPr>
      </w:pPr>
    </w:p>
    <w:p w14:paraId="4024C430" w14:textId="5DDF7596" w:rsidR="00BD1237" w:rsidRDefault="00000000">
      <w:pPr>
        <w:spacing w:after="0"/>
        <w:jc w:val="both"/>
        <w:rPr>
          <w:rFonts w:ascii="Arial" w:hAnsi="Arial"/>
          <w:sz w:val="24"/>
          <w:szCs w:val="24"/>
        </w:rPr>
      </w:pPr>
      <w:r>
        <w:rPr>
          <w:noProof/>
        </w:rPr>
        <w:pict w14:anchorId="26B88A56">
          <v:rect id="Frame6" o:spid="_x0000_s1028" style="position:absolute;left:0;text-align:left;margin-left:0;margin-top:.05pt;width:435.05pt;height:270.85pt;z-index:16;visibility:visible;mso-wrap-style:square;mso-wrap-distance-left:0;mso-wrap-distance-top:0;mso-wrap-distance-right:.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" o:allowincell="f" strokeweight="0">
            <v:textbox inset=".49mm,.49mm,.49mm,.49mm">
              <w:txbxContent>
                <w:p w14:paraId="673EDA03" w14:textId="77777777" w:rsidR="00BD1237" w:rsidRDefault="00000000">
                  <w:pPr>
                    <w:pStyle w:val="Caption"/>
                  </w:pPr>
                  <w:r>
                    <w:rPr>
                      <w:noProof/>
                    </w:rPr>
                    <w:drawing>
                      <wp:inline distT="0" distB="0" distL="0" distR="0" wp14:anchorId="68DA0CBA" wp14:editId="102728E5">
                        <wp:extent cx="5488305" cy="3086735"/>
                        <wp:effectExtent l="0" t="0" r="0" b="0"/>
                        <wp:docPr id="11" name="Object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Bar Chart 5</w:t>
                  </w:r>
                </w:p>
              </w:txbxContent>
            </v:textbox>
            <w10:wrap type="square" side="largest"/>
          </v:rect>
        </w:pict>
      </w:r>
    </w:p>
    <w:p w14:paraId="5D873383" w14:textId="77777777" w:rsidR="00BD1237" w:rsidRDefault="00BD1237">
      <w:pPr>
        <w:spacing w:after="0"/>
        <w:jc w:val="both"/>
        <w:rPr>
          <w:rFonts w:ascii="Arial" w:hAnsi="Arial"/>
          <w:sz w:val="24"/>
          <w:szCs w:val="24"/>
        </w:rPr>
      </w:pPr>
    </w:p>
    <w:p w14:paraId="26D00CC5" w14:textId="77777777" w:rsidR="00BD1237" w:rsidRDefault="00BD1237">
      <w:pPr>
        <w:spacing w:after="0"/>
        <w:jc w:val="both"/>
        <w:rPr>
          <w:rFonts w:ascii="Arial" w:hAnsi="Arial"/>
          <w:sz w:val="24"/>
          <w:szCs w:val="24"/>
        </w:rPr>
      </w:pPr>
    </w:p>
    <w:p w14:paraId="1686B5CA" w14:textId="77777777" w:rsidR="00BD1237" w:rsidRDefault="00BD1237">
      <w:pPr>
        <w:spacing w:after="0"/>
        <w:jc w:val="both"/>
        <w:rPr>
          <w:rFonts w:ascii="Arial" w:hAnsi="Arial"/>
          <w:sz w:val="24"/>
          <w:szCs w:val="24"/>
        </w:rPr>
      </w:pPr>
    </w:p>
    <w:p w14:paraId="48F8C027" w14:textId="77777777" w:rsidR="00BD1237" w:rsidRDefault="00BD1237">
      <w:pPr>
        <w:spacing w:after="0"/>
        <w:jc w:val="both"/>
        <w:rPr>
          <w:rFonts w:ascii="Arial" w:hAnsi="Arial"/>
          <w:sz w:val="24"/>
          <w:szCs w:val="24"/>
        </w:rPr>
      </w:pPr>
    </w:p>
    <w:p w14:paraId="09F073BC" w14:textId="77777777" w:rsidR="00BD1237" w:rsidRDefault="00BD1237">
      <w:pPr>
        <w:spacing w:after="0"/>
        <w:jc w:val="both"/>
        <w:rPr>
          <w:rFonts w:ascii="Arial" w:hAnsi="Arial"/>
          <w:sz w:val="24"/>
          <w:szCs w:val="24"/>
        </w:rPr>
      </w:pPr>
    </w:p>
    <w:p w14:paraId="6894A56C" w14:textId="77777777" w:rsidR="00BD1237" w:rsidRDefault="00BD1237">
      <w:pPr>
        <w:spacing w:after="0"/>
        <w:jc w:val="both"/>
        <w:rPr>
          <w:rFonts w:ascii="Arial" w:hAnsi="Arial"/>
          <w:sz w:val="24"/>
          <w:szCs w:val="24"/>
        </w:rPr>
      </w:pPr>
    </w:p>
    <w:p w14:paraId="299B0DEE" w14:textId="77777777" w:rsidR="00BD1237" w:rsidRDefault="00BD1237">
      <w:pPr>
        <w:spacing w:after="0"/>
        <w:jc w:val="both"/>
        <w:rPr>
          <w:rFonts w:ascii="Arial" w:hAnsi="Arial"/>
          <w:sz w:val="24"/>
          <w:szCs w:val="24"/>
        </w:rPr>
      </w:pPr>
    </w:p>
    <w:p w14:paraId="3C723A4E" w14:textId="77777777" w:rsidR="00BD1237" w:rsidRDefault="00BD1237">
      <w:pPr>
        <w:spacing w:after="0"/>
        <w:jc w:val="both"/>
        <w:rPr>
          <w:rFonts w:ascii="Arial" w:hAnsi="Arial"/>
          <w:sz w:val="24"/>
          <w:szCs w:val="24"/>
        </w:rPr>
      </w:pPr>
    </w:p>
    <w:p w14:paraId="053389D2" w14:textId="77777777" w:rsidR="00BD1237" w:rsidRDefault="00BD1237">
      <w:pPr>
        <w:spacing w:after="0"/>
        <w:jc w:val="both"/>
        <w:rPr>
          <w:rFonts w:ascii="Arial" w:hAnsi="Arial"/>
          <w:sz w:val="24"/>
          <w:szCs w:val="24"/>
        </w:rPr>
      </w:pPr>
    </w:p>
    <w:p w14:paraId="253AFBB5" w14:textId="77777777" w:rsidR="00BD1237" w:rsidRDefault="00BD1237">
      <w:pPr>
        <w:spacing w:after="0"/>
        <w:jc w:val="both"/>
        <w:rPr>
          <w:rFonts w:ascii="Arial" w:hAnsi="Arial"/>
          <w:sz w:val="24"/>
          <w:szCs w:val="24"/>
        </w:rPr>
      </w:pPr>
    </w:p>
    <w:p w14:paraId="62D70DFE" w14:textId="77777777" w:rsidR="00BD1237" w:rsidRDefault="00BD1237">
      <w:pPr>
        <w:spacing w:after="0"/>
        <w:jc w:val="both"/>
        <w:rPr>
          <w:rFonts w:ascii="Arial" w:hAnsi="Arial"/>
          <w:sz w:val="24"/>
          <w:szCs w:val="24"/>
        </w:rPr>
      </w:pPr>
    </w:p>
    <w:p w14:paraId="6F40AECC" w14:textId="77777777" w:rsidR="00BD1237" w:rsidRDefault="00BD1237">
      <w:pPr>
        <w:spacing w:after="0"/>
        <w:jc w:val="both"/>
        <w:rPr>
          <w:rFonts w:ascii="Arial" w:hAnsi="Arial"/>
          <w:sz w:val="24"/>
          <w:szCs w:val="24"/>
        </w:rPr>
      </w:pPr>
    </w:p>
    <w:p w14:paraId="1F7ECD09" w14:textId="77777777" w:rsidR="00BD1237" w:rsidRDefault="00BD1237">
      <w:pPr>
        <w:spacing w:after="0"/>
        <w:jc w:val="both"/>
        <w:rPr>
          <w:rFonts w:ascii="Arial" w:hAnsi="Arial"/>
          <w:sz w:val="24"/>
          <w:szCs w:val="24"/>
        </w:rPr>
      </w:pPr>
    </w:p>
    <w:p w14:paraId="5E8C8EBC" w14:textId="77777777" w:rsidR="00BD1237" w:rsidRDefault="00BD1237">
      <w:pPr>
        <w:spacing w:after="0"/>
        <w:jc w:val="both"/>
        <w:rPr>
          <w:rFonts w:ascii="Arial" w:hAnsi="Arial"/>
          <w:sz w:val="24"/>
          <w:szCs w:val="24"/>
        </w:rPr>
      </w:pPr>
    </w:p>
    <w:p w14:paraId="514CB28A" w14:textId="77777777" w:rsidR="00BD1237" w:rsidRDefault="00BD1237">
      <w:pPr>
        <w:spacing w:after="0"/>
        <w:jc w:val="both"/>
        <w:rPr>
          <w:rFonts w:ascii="Arial" w:hAnsi="Arial"/>
          <w:sz w:val="24"/>
          <w:szCs w:val="24"/>
        </w:rPr>
      </w:pPr>
    </w:p>
    <w:p w14:paraId="066A35B9" w14:textId="77777777" w:rsidR="00BD1237" w:rsidRDefault="00BD1237">
      <w:pPr>
        <w:spacing w:after="0"/>
        <w:jc w:val="both"/>
        <w:rPr>
          <w:rFonts w:ascii="Arial" w:hAnsi="Arial"/>
          <w:sz w:val="24"/>
          <w:szCs w:val="24"/>
        </w:rPr>
      </w:pPr>
    </w:p>
    <w:p w14:paraId="339BA8AA" w14:textId="77777777" w:rsidR="00BD1237" w:rsidRDefault="00BD1237">
      <w:pPr>
        <w:spacing w:after="0"/>
        <w:jc w:val="both"/>
        <w:rPr>
          <w:rFonts w:ascii="Arial" w:hAnsi="Arial"/>
          <w:sz w:val="24"/>
          <w:szCs w:val="24"/>
        </w:rPr>
      </w:pPr>
    </w:p>
    <w:p w14:paraId="75A24CE8" w14:textId="77777777" w:rsidR="00BD1237" w:rsidRDefault="00BD1237">
      <w:pPr>
        <w:spacing w:after="0"/>
        <w:jc w:val="both"/>
        <w:rPr>
          <w:rFonts w:ascii="Arial" w:hAnsi="Arial"/>
          <w:sz w:val="24"/>
          <w:szCs w:val="24"/>
        </w:rPr>
      </w:pPr>
    </w:p>
    <w:p w14:paraId="6E6D6799" w14:textId="77777777" w:rsidR="00BD1237" w:rsidRDefault="00BD1237">
      <w:pPr>
        <w:spacing w:after="0"/>
        <w:jc w:val="both"/>
        <w:rPr>
          <w:rFonts w:ascii="Arial" w:hAnsi="Arial"/>
          <w:sz w:val="24"/>
          <w:szCs w:val="24"/>
        </w:rPr>
      </w:pPr>
    </w:p>
    <w:p w14:paraId="762C5A94" w14:textId="70A6D41B" w:rsidR="00BD1237" w:rsidRDefault="00000000">
      <w:pPr>
        <w:spacing w:after="0"/>
        <w:jc w:val="both"/>
        <w:rPr>
          <w:rFonts w:ascii="Arial" w:hAnsi="Arial"/>
          <w:sz w:val="24"/>
          <w:szCs w:val="24"/>
        </w:rPr>
      </w:pPr>
      <w:r>
        <w:rPr>
          <w:noProof/>
        </w:rPr>
        <w:pict w14:anchorId="0FB5FE82">
          <v:rect id="Frame7" o:spid="_x0000_s1027" style="position:absolute;left:0;text-align:left;margin-left:0;margin-top:.05pt;width:423.55pt;height:277.8pt;z-index:19;visibility:visible;mso-wrap-style:square;mso-wrap-distance-left:0;mso-wrap-distance-top:0;mso-wrap-distance-right:.0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" o:allowincell="f" strokeweight="0">
            <v:textbox inset=".49mm,.49mm,.49mm,.49mm">
              <w:txbxContent>
                <w:p w14:paraId="0B6C1F04" w14:textId="77777777" w:rsidR="00BD1237" w:rsidRDefault="00000000">
                  <w:pPr>
                    <w:pStyle w:val="Caption"/>
                  </w:pPr>
                  <w:r>
                    <w:t>Bar Chart 6</w:t>
                  </w:r>
                  <w:r>
                    <w:rPr>
                      <w:noProof/>
                    </w:rPr>
                    <w:drawing>
                      <wp:inline distT="0" distB="0" distL="0" distR="0" wp14:anchorId="49588D31" wp14:editId="652D6CE3">
                        <wp:extent cx="5342255" cy="3138170"/>
                        <wp:effectExtent l="0" t="0" r="0" b="0"/>
                        <wp:docPr id="12" name="Object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w10:wrap type="square" side="largest"/>
          </v:rect>
        </w:pict>
      </w:r>
    </w:p>
    <w:p w14:paraId="1E9BE5AA" w14:textId="77777777" w:rsidR="00BD1237" w:rsidRDefault="00BD1237">
      <w:pPr>
        <w:spacing w:after="0"/>
        <w:jc w:val="both"/>
        <w:rPr>
          <w:rFonts w:ascii="Arial" w:hAnsi="Arial"/>
          <w:sz w:val="24"/>
          <w:szCs w:val="24"/>
        </w:rPr>
      </w:pPr>
    </w:p>
    <w:p w14:paraId="5DC67503" w14:textId="77777777" w:rsidR="00BD1237" w:rsidRDefault="00BD1237">
      <w:pPr>
        <w:spacing w:after="0"/>
        <w:jc w:val="both"/>
        <w:rPr>
          <w:rFonts w:ascii="Arial" w:hAnsi="Arial"/>
          <w:sz w:val="24"/>
          <w:szCs w:val="24"/>
        </w:rPr>
      </w:pPr>
    </w:p>
    <w:p w14:paraId="2183CE28" w14:textId="77777777" w:rsidR="00BD1237" w:rsidRDefault="00BD1237">
      <w:pPr>
        <w:spacing w:after="0"/>
        <w:jc w:val="both"/>
        <w:rPr>
          <w:rFonts w:ascii="Arial" w:hAnsi="Arial"/>
          <w:sz w:val="24"/>
          <w:szCs w:val="24"/>
        </w:rPr>
      </w:pPr>
    </w:p>
    <w:p w14:paraId="588894BE" w14:textId="77777777" w:rsidR="00BD1237" w:rsidRDefault="00BD1237">
      <w:pPr>
        <w:spacing w:after="0"/>
        <w:jc w:val="both"/>
        <w:rPr>
          <w:rFonts w:ascii="Arial" w:hAnsi="Arial"/>
          <w:sz w:val="24"/>
          <w:szCs w:val="24"/>
        </w:rPr>
      </w:pPr>
    </w:p>
    <w:p w14:paraId="0ABF306B" w14:textId="77777777" w:rsidR="00BD1237" w:rsidRDefault="00BD1237">
      <w:pPr>
        <w:spacing w:after="0"/>
        <w:jc w:val="both"/>
        <w:rPr>
          <w:rFonts w:ascii="Arial" w:hAnsi="Arial"/>
          <w:sz w:val="24"/>
          <w:szCs w:val="24"/>
        </w:rPr>
      </w:pPr>
    </w:p>
    <w:p w14:paraId="63B121DB" w14:textId="77777777" w:rsidR="00BD1237" w:rsidRDefault="00BD1237">
      <w:pPr>
        <w:spacing w:after="0"/>
        <w:jc w:val="both"/>
        <w:rPr>
          <w:rFonts w:ascii="Arial" w:hAnsi="Arial"/>
          <w:sz w:val="24"/>
          <w:szCs w:val="24"/>
        </w:rPr>
      </w:pPr>
    </w:p>
    <w:p w14:paraId="1D6CB61D" w14:textId="77777777" w:rsidR="00BD1237" w:rsidRDefault="00BD1237">
      <w:pPr>
        <w:spacing w:after="0"/>
        <w:jc w:val="both"/>
        <w:rPr>
          <w:rFonts w:ascii="Arial" w:hAnsi="Arial"/>
          <w:sz w:val="24"/>
          <w:szCs w:val="24"/>
        </w:rPr>
      </w:pPr>
    </w:p>
    <w:p w14:paraId="6E932B0F" w14:textId="77777777" w:rsidR="00BD1237" w:rsidRDefault="00BD1237">
      <w:pPr>
        <w:spacing w:after="0"/>
        <w:jc w:val="both"/>
        <w:rPr>
          <w:rFonts w:ascii="Arial" w:hAnsi="Arial"/>
          <w:sz w:val="24"/>
          <w:szCs w:val="24"/>
        </w:rPr>
      </w:pPr>
    </w:p>
    <w:p w14:paraId="1EE7C4F4" w14:textId="77777777" w:rsidR="00BD1237" w:rsidRDefault="00BD1237">
      <w:pPr>
        <w:spacing w:after="0"/>
        <w:jc w:val="both"/>
        <w:rPr>
          <w:rFonts w:ascii="Arial" w:hAnsi="Arial"/>
          <w:sz w:val="24"/>
          <w:szCs w:val="24"/>
        </w:rPr>
      </w:pPr>
    </w:p>
    <w:p w14:paraId="3C7B8AB3" w14:textId="77777777" w:rsidR="00BD1237" w:rsidRDefault="00BD1237">
      <w:pPr>
        <w:spacing w:after="0"/>
        <w:jc w:val="both"/>
        <w:rPr>
          <w:rFonts w:ascii="Arial" w:hAnsi="Arial"/>
          <w:sz w:val="24"/>
          <w:szCs w:val="24"/>
        </w:rPr>
      </w:pPr>
    </w:p>
    <w:p w14:paraId="6A84C87F" w14:textId="77777777" w:rsidR="00BD1237" w:rsidRDefault="00BD1237">
      <w:pPr>
        <w:spacing w:after="0"/>
        <w:jc w:val="both"/>
        <w:rPr>
          <w:b/>
          <w:bCs/>
        </w:rPr>
      </w:pPr>
    </w:p>
    <w:p w14:paraId="030C9751" w14:textId="77777777" w:rsidR="00BD1237" w:rsidRDefault="00BD1237">
      <w:pPr>
        <w:spacing w:after="0"/>
        <w:jc w:val="both"/>
        <w:rPr>
          <w:b/>
          <w:bCs/>
        </w:rPr>
      </w:pPr>
    </w:p>
    <w:p w14:paraId="1515B67A" w14:textId="77777777" w:rsidR="00BD1237" w:rsidRDefault="00BD1237">
      <w:pPr>
        <w:spacing w:after="0"/>
        <w:jc w:val="both"/>
        <w:rPr>
          <w:b/>
          <w:bCs/>
        </w:rPr>
      </w:pPr>
    </w:p>
    <w:p w14:paraId="7D0614B3" w14:textId="77777777" w:rsidR="00BD1237" w:rsidRDefault="00BD1237">
      <w:pPr>
        <w:spacing w:after="0"/>
        <w:jc w:val="both"/>
        <w:rPr>
          <w:b/>
          <w:bCs/>
        </w:rPr>
      </w:pPr>
    </w:p>
    <w:p w14:paraId="6D551893" w14:textId="77777777" w:rsidR="00BD1237" w:rsidRDefault="00BD1237">
      <w:pPr>
        <w:spacing w:after="0"/>
        <w:jc w:val="both"/>
        <w:rPr>
          <w:b/>
          <w:bCs/>
        </w:rPr>
      </w:pPr>
    </w:p>
    <w:p w14:paraId="749CC1DA" w14:textId="77777777" w:rsidR="00BD1237" w:rsidRDefault="00BD1237">
      <w:pPr>
        <w:spacing w:after="0"/>
        <w:jc w:val="both"/>
        <w:rPr>
          <w:b/>
          <w:bCs/>
        </w:rPr>
      </w:pPr>
    </w:p>
    <w:p w14:paraId="3CC5AB2D" w14:textId="77777777" w:rsidR="00BD1237" w:rsidRDefault="00BD1237">
      <w:pPr>
        <w:spacing w:after="0"/>
        <w:jc w:val="both"/>
        <w:rPr>
          <w:b/>
          <w:bCs/>
        </w:rPr>
      </w:pPr>
    </w:p>
    <w:p w14:paraId="0644B53E" w14:textId="77777777" w:rsidR="00BD1237" w:rsidRDefault="00BD1237">
      <w:pPr>
        <w:spacing w:after="0"/>
        <w:jc w:val="both"/>
        <w:rPr>
          <w:b/>
          <w:bCs/>
        </w:rPr>
      </w:pPr>
    </w:p>
    <w:p w14:paraId="14E9C17A" w14:textId="77777777" w:rsidR="00BD1237" w:rsidRDefault="00BD1237">
      <w:pPr>
        <w:spacing w:after="0"/>
        <w:jc w:val="both"/>
        <w:rPr>
          <w:b/>
          <w:bCs/>
        </w:rPr>
      </w:pPr>
    </w:p>
    <w:p w14:paraId="66B01067" w14:textId="269B7961" w:rsidR="00BD1237" w:rsidRDefault="00000000">
      <w:pPr>
        <w:spacing w:after="0"/>
        <w:jc w:val="both"/>
        <w:rPr>
          <w:b/>
          <w:bCs/>
        </w:rPr>
      </w:pPr>
      <w:r>
        <w:rPr>
          <w:noProof/>
        </w:rPr>
        <w:pict w14:anchorId="5B51AF7A">
          <v:rect id="Frame8" o:spid="_x0000_s1026" style="position:absolute;left:0;text-align:left;margin-left:0;margin-top:.05pt;width:453.55pt;height:284.15pt;z-index:21;visibility:visible;mso-wrap-style:squar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" o:allowincell="f" strokeweight="0">
            <v:textbox inset=".49mm,.49mm,.49mm,.49mm">
              <w:txbxContent>
                <w:p w14:paraId="55731F5B" w14:textId="77777777" w:rsidR="00BD1237" w:rsidRDefault="00000000">
                  <w:pPr>
                    <w:pStyle w:val="Caption"/>
                  </w:pPr>
                  <w:r>
                    <w:t>Bar Chart 2</w:t>
                  </w:r>
                  <w:r>
                    <w:rPr>
                      <w:noProof/>
                    </w:rPr>
                    <w:drawing>
                      <wp:inline distT="0" distB="0" distL="0" distR="0" wp14:anchorId="1AB7235F" wp14:editId="7ED4C45B">
                        <wp:extent cx="5723255" cy="3218815"/>
                        <wp:effectExtent l="0" t="0" r="0" b="0"/>
                        <wp:docPr id="13" name="Objec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w10:wrap type="square" side="largest"/>
          </v:rect>
        </w:pict>
      </w:r>
    </w:p>
    <w:p w14:paraId="0B722A45" w14:textId="77777777" w:rsidR="00BD1237" w:rsidRDefault="00BD1237">
      <w:pPr>
        <w:spacing w:after="0"/>
        <w:jc w:val="both"/>
        <w:rPr>
          <w:b/>
          <w:bCs/>
        </w:rPr>
      </w:pPr>
    </w:p>
    <w:sectPr w:rsidR="00BD1237">
      <w:headerReference w:type="even" r:id="rId16"/>
      <w:headerReference w:type="default" r:id="rId17"/>
      <w:footerReference w:type="even" r:id="rId18"/>
      <w:footerReference w:type="default" r:id="rId19"/>
      <w:headerReference w:type="first" r:id="rId20"/>
      <w:footerReference w:type="first" r:id="rId21"/>
      <w:pgSz w:w="11906" w:h="16838"/>
      <w:pgMar w:top="1877" w:right="1134" w:bottom="1826" w:left="1134" w:header="1134"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CE76" w14:textId="77777777" w:rsidR="00750FD4" w:rsidRDefault="00750FD4">
      <w:pPr>
        <w:spacing w:after="0" w:line="240" w:lineRule="auto"/>
      </w:pPr>
      <w:r>
        <w:separator/>
      </w:r>
    </w:p>
  </w:endnote>
  <w:endnote w:type="continuationSeparator" w:id="0">
    <w:p w14:paraId="0432E4AD" w14:textId="77777777" w:rsidR="00750FD4" w:rsidRDefault="0075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A138" w14:textId="77777777" w:rsidR="00BD1237" w:rsidRDefault="00BD1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6B7D" w14:textId="289E51CE" w:rsidR="00BD1237" w:rsidRDefault="00000000">
    <w:pPr>
      <w:pStyle w:val="Footer"/>
      <w:jc w:val="right"/>
      <w:rPr>
        <w:rFonts w:ascii="Arial" w:hAnsi="Arial"/>
        <w:sz w:val="20"/>
        <w:szCs w:val="20"/>
      </w:rPr>
    </w:pPr>
    <w:r>
      <w:rPr>
        <w:rFonts w:ascii="Arial" w:hAnsi="Arial"/>
        <w:sz w:val="20"/>
        <w:szCs w:val="20"/>
      </w:rPr>
      <w:t xml:space="preserve">Page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Pr>
        <w:rFonts w:ascii="Arial" w:hAnsi="Arial"/>
        <w:sz w:val="20"/>
        <w:szCs w:val="20"/>
      </w:rPr>
      <w:t>6</w:t>
    </w:r>
    <w:r>
      <w:rPr>
        <w:rFonts w:ascii="Arial" w:hAnsi="Arial"/>
        <w:sz w:val="20"/>
        <w:szCs w:val="20"/>
      </w:rPr>
      <w:fldChar w:fldCharType="end"/>
    </w:r>
    <w:r>
      <w:rPr>
        <w:rFonts w:ascii="Arial" w:hAnsi="Arial"/>
        <w:sz w:val="20"/>
        <w:szCs w:val="20"/>
      </w:rPr>
      <w:t xml:space="preserve"> of </w:t>
    </w:r>
    <w:r>
      <w:rPr>
        <w:rFonts w:ascii="Arial" w:hAnsi="Arial"/>
        <w:sz w:val="20"/>
        <w:szCs w:val="20"/>
      </w:rPr>
      <w:fldChar w:fldCharType="begin"/>
    </w:r>
    <w:r>
      <w:rPr>
        <w:rFonts w:ascii="Arial" w:hAnsi="Arial"/>
        <w:sz w:val="20"/>
        <w:szCs w:val="20"/>
      </w:rPr>
      <w:instrText xml:space="preserve"> NUMPAGES </w:instrText>
    </w:r>
    <w:r>
      <w:rPr>
        <w:rFonts w:ascii="Arial" w:hAnsi="Arial"/>
        <w:sz w:val="20"/>
        <w:szCs w:val="20"/>
      </w:rPr>
      <w:fldChar w:fldCharType="separate"/>
    </w:r>
    <w:r>
      <w:rPr>
        <w:rFonts w:ascii="Arial" w:hAnsi="Arial"/>
        <w:sz w:val="20"/>
        <w:szCs w:val="20"/>
      </w:rPr>
      <w:t>6</w:t>
    </w:r>
    <w:r>
      <w:rPr>
        <w:rFonts w:ascii="Arial" w:hAnsi="Arial"/>
        <w:sz w:val="20"/>
        <w:szCs w:val="20"/>
      </w:rPr>
      <w:fldChar w:fldCharType="end"/>
    </w:r>
    <w:r>
      <w:rPr>
        <w:rFonts w:ascii="Arial" w:hAnsi="Arial"/>
        <w:sz w:val="20"/>
        <w:szCs w:val="20"/>
      </w:rPr>
      <w:tab/>
    </w:r>
    <w:r>
      <w:rPr>
        <w:rFonts w:ascii="Arial" w:hAnsi="Arial"/>
        <w:sz w:val="20"/>
        <w:szCs w:val="20"/>
      </w:rPr>
      <w:fldChar w:fldCharType="begin"/>
    </w:r>
    <w:r>
      <w:rPr>
        <w:rFonts w:ascii="Arial" w:hAnsi="Arial"/>
        <w:sz w:val="20"/>
        <w:szCs w:val="20"/>
      </w:rPr>
      <w:instrText xml:space="preserve"> DATE \@"d\ MMM\ yy" </w:instrText>
    </w:r>
    <w:r>
      <w:rPr>
        <w:rFonts w:ascii="Arial" w:hAnsi="Arial"/>
        <w:sz w:val="20"/>
        <w:szCs w:val="20"/>
      </w:rPr>
      <w:fldChar w:fldCharType="separate"/>
    </w:r>
    <w:r w:rsidR="006E1842">
      <w:rPr>
        <w:rFonts w:ascii="Arial" w:hAnsi="Arial"/>
        <w:noProof/>
        <w:sz w:val="20"/>
        <w:szCs w:val="20"/>
      </w:rPr>
      <w:t>15 Apr 25</w:t>
    </w:r>
    <w:r>
      <w:rPr>
        <w:rFonts w:ascii="Arial" w:hAnsi="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F17F" w14:textId="4D89BA86" w:rsidR="00BD1237" w:rsidRDefault="00000000">
    <w:pPr>
      <w:pStyle w:val="Footer"/>
      <w:jc w:val="right"/>
      <w:rPr>
        <w:rFonts w:ascii="Arial" w:hAnsi="Arial"/>
        <w:sz w:val="20"/>
        <w:szCs w:val="20"/>
      </w:rPr>
    </w:pPr>
    <w:r>
      <w:rPr>
        <w:rFonts w:ascii="Arial" w:hAnsi="Arial"/>
        <w:sz w:val="20"/>
        <w:szCs w:val="20"/>
      </w:rPr>
      <w:t xml:space="preserve">Page </w:t>
    </w:r>
    <w:r>
      <w:rPr>
        <w:rFonts w:ascii="Arial" w:hAnsi="Arial"/>
        <w:sz w:val="20"/>
        <w:szCs w:val="20"/>
      </w:rPr>
      <w:fldChar w:fldCharType="begin"/>
    </w:r>
    <w:r>
      <w:rPr>
        <w:rFonts w:ascii="Arial" w:hAnsi="Arial"/>
        <w:sz w:val="20"/>
        <w:szCs w:val="20"/>
      </w:rPr>
      <w:instrText xml:space="preserve"> PAGE </w:instrText>
    </w:r>
    <w:r>
      <w:rPr>
        <w:rFonts w:ascii="Arial" w:hAnsi="Arial"/>
        <w:sz w:val="20"/>
        <w:szCs w:val="20"/>
      </w:rPr>
      <w:fldChar w:fldCharType="separate"/>
    </w:r>
    <w:r>
      <w:rPr>
        <w:rFonts w:ascii="Arial" w:hAnsi="Arial"/>
        <w:sz w:val="20"/>
        <w:szCs w:val="20"/>
      </w:rPr>
      <w:t>6</w:t>
    </w:r>
    <w:r>
      <w:rPr>
        <w:rFonts w:ascii="Arial" w:hAnsi="Arial"/>
        <w:sz w:val="20"/>
        <w:szCs w:val="20"/>
      </w:rPr>
      <w:fldChar w:fldCharType="end"/>
    </w:r>
    <w:r>
      <w:rPr>
        <w:rFonts w:ascii="Arial" w:hAnsi="Arial"/>
        <w:sz w:val="20"/>
        <w:szCs w:val="20"/>
      </w:rPr>
      <w:t xml:space="preserve"> of </w:t>
    </w:r>
    <w:r>
      <w:rPr>
        <w:rFonts w:ascii="Arial" w:hAnsi="Arial"/>
        <w:sz w:val="20"/>
        <w:szCs w:val="20"/>
      </w:rPr>
      <w:fldChar w:fldCharType="begin"/>
    </w:r>
    <w:r>
      <w:rPr>
        <w:rFonts w:ascii="Arial" w:hAnsi="Arial"/>
        <w:sz w:val="20"/>
        <w:szCs w:val="20"/>
      </w:rPr>
      <w:instrText xml:space="preserve"> NUMPAGES </w:instrText>
    </w:r>
    <w:r>
      <w:rPr>
        <w:rFonts w:ascii="Arial" w:hAnsi="Arial"/>
        <w:sz w:val="20"/>
        <w:szCs w:val="20"/>
      </w:rPr>
      <w:fldChar w:fldCharType="separate"/>
    </w:r>
    <w:r>
      <w:rPr>
        <w:rFonts w:ascii="Arial" w:hAnsi="Arial"/>
        <w:sz w:val="20"/>
        <w:szCs w:val="20"/>
      </w:rPr>
      <w:t>6</w:t>
    </w:r>
    <w:r>
      <w:rPr>
        <w:rFonts w:ascii="Arial" w:hAnsi="Arial"/>
        <w:sz w:val="20"/>
        <w:szCs w:val="20"/>
      </w:rPr>
      <w:fldChar w:fldCharType="end"/>
    </w:r>
    <w:r>
      <w:rPr>
        <w:rFonts w:ascii="Arial" w:hAnsi="Arial"/>
        <w:sz w:val="20"/>
        <w:szCs w:val="20"/>
      </w:rPr>
      <w:tab/>
    </w:r>
    <w:r>
      <w:rPr>
        <w:rFonts w:ascii="Arial" w:hAnsi="Arial"/>
        <w:sz w:val="20"/>
        <w:szCs w:val="20"/>
      </w:rPr>
      <w:fldChar w:fldCharType="begin"/>
    </w:r>
    <w:r>
      <w:rPr>
        <w:rFonts w:ascii="Arial" w:hAnsi="Arial"/>
        <w:sz w:val="20"/>
        <w:szCs w:val="20"/>
      </w:rPr>
      <w:instrText xml:space="preserve"> DATE \@"d\ MMM\ yy" </w:instrText>
    </w:r>
    <w:r>
      <w:rPr>
        <w:rFonts w:ascii="Arial" w:hAnsi="Arial"/>
        <w:sz w:val="20"/>
        <w:szCs w:val="20"/>
      </w:rPr>
      <w:fldChar w:fldCharType="separate"/>
    </w:r>
    <w:r w:rsidR="006E1842">
      <w:rPr>
        <w:rFonts w:ascii="Arial" w:hAnsi="Arial"/>
        <w:noProof/>
        <w:sz w:val="20"/>
        <w:szCs w:val="20"/>
      </w:rPr>
      <w:t>15 Apr 25</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629C4" w14:textId="77777777" w:rsidR="00750FD4" w:rsidRDefault="00750FD4">
      <w:pPr>
        <w:spacing w:after="0" w:line="240" w:lineRule="auto"/>
      </w:pPr>
      <w:r>
        <w:separator/>
      </w:r>
    </w:p>
  </w:footnote>
  <w:footnote w:type="continuationSeparator" w:id="0">
    <w:p w14:paraId="79981D85" w14:textId="77777777" w:rsidR="00750FD4" w:rsidRDefault="00750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B047" w14:textId="77777777" w:rsidR="00BD1237" w:rsidRDefault="00BD1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FC30" w14:textId="77777777" w:rsidR="00BD1237" w:rsidRDefault="00000000">
    <w:pPr>
      <w:rPr>
        <w:rFonts w:ascii="Arial" w:hAnsi="Arial"/>
        <w:i/>
        <w:iCs/>
        <w:sz w:val="24"/>
        <w:szCs w:val="24"/>
      </w:rPr>
    </w:pPr>
    <w:r>
      <w:rPr>
        <w:noProof/>
      </w:rPr>
      <w:drawing>
        <wp:anchor distT="0" distB="0" distL="0" distR="0" simplePos="0" relativeHeight="251658240" behindDoc="1" locked="0" layoutInCell="0" allowOverlap="1" wp14:anchorId="54D7A541" wp14:editId="6FEB877A">
          <wp:simplePos x="0" y="0"/>
          <wp:positionH relativeFrom="column">
            <wp:posOffset>4110355</wp:posOffset>
          </wp:positionH>
          <wp:positionV relativeFrom="paragraph">
            <wp:posOffset>-247650</wp:posOffset>
          </wp:positionV>
          <wp:extent cx="1968500" cy="687070"/>
          <wp:effectExtent l="0" t="0" r="0" b="0"/>
          <wp:wrapSquare wrapText="largest"/>
          <wp:docPr id="1901892944" name="Image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 Copy 1"/>
                  <pic:cNvPicPr>
                    <a:picLocks noChangeAspect="1" noChangeArrowheads="1"/>
                  </pic:cNvPicPr>
                </pic:nvPicPr>
                <pic:blipFill>
                  <a:blip r:embed="rId1"/>
                  <a:stretch>
                    <a:fillRect/>
                  </a:stretch>
                </pic:blipFill>
                <pic:spPr bwMode="auto">
                  <a:xfrm>
                    <a:off x="0" y="0"/>
                    <a:ext cx="1968500" cy="687070"/>
                  </a:xfrm>
                  <a:prstGeom prst="rect">
                    <a:avLst/>
                  </a:prstGeom>
                  <a:noFill/>
                </pic:spPr>
              </pic:pic>
            </a:graphicData>
          </a:graphic>
        </wp:anchor>
      </w:drawing>
    </w:r>
    <w:r>
      <w:rPr>
        <w:rFonts w:ascii="Arial" w:hAnsi="Arial"/>
        <w:b/>
        <w:bCs/>
        <w:i/>
        <w:iCs/>
        <w:sz w:val="24"/>
        <w:szCs w:val="24"/>
      </w:rPr>
      <w:t>Small Grants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581B" w14:textId="77777777" w:rsidR="00BD1237" w:rsidRDefault="00000000">
    <w:pPr>
      <w:rPr>
        <w:rFonts w:ascii="Arial" w:hAnsi="Arial"/>
        <w:i/>
        <w:iCs/>
        <w:sz w:val="24"/>
        <w:szCs w:val="24"/>
      </w:rPr>
    </w:pPr>
    <w:r>
      <w:rPr>
        <w:noProof/>
      </w:rPr>
      <w:drawing>
        <wp:anchor distT="0" distB="0" distL="0" distR="0" simplePos="0" relativeHeight="251657216" behindDoc="1" locked="0" layoutInCell="0" allowOverlap="1" wp14:anchorId="39B93D7F" wp14:editId="1278F374">
          <wp:simplePos x="0" y="0"/>
          <wp:positionH relativeFrom="column">
            <wp:posOffset>4110355</wp:posOffset>
          </wp:positionH>
          <wp:positionV relativeFrom="paragraph">
            <wp:posOffset>-247650</wp:posOffset>
          </wp:positionV>
          <wp:extent cx="1968500" cy="687070"/>
          <wp:effectExtent l="0" t="0" r="0" b="0"/>
          <wp:wrapSquare wrapText="largest"/>
          <wp:docPr id="1283659418" name="Image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Copy 1"/>
                  <pic:cNvPicPr>
                    <a:picLocks noChangeAspect="1" noChangeArrowheads="1"/>
                  </pic:cNvPicPr>
                </pic:nvPicPr>
                <pic:blipFill>
                  <a:blip r:embed="rId1"/>
                  <a:stretch>
                    <a:fillRect/>
                  </a:stretch>
                </pic:blipFill>
                <pic:spPr bwMode="auto">
                  <a:xfrm>
                    <a:off x="0" y="0"/>
                    <a:ext cx="1968500" cy="687070"/>
                  </a:xfrm>
                  <a:prstGeom prst="rect">
                    <a:avLst/>
                  </a:prstGeom>
                  <a:noFill/>
                </pic:spPr>
              </pic:pic>
            </a:graphicData>
          </a:graphic>
        </wp:anchor>
      </w:drawing>
    </w:r>
    <w:r>
      <w:rPr>
        <w:rFonts w:ascii="Arial" w:hAnsi="Arial"/>
        <w:b/>
        <w:bCs/>
        <w:i/>
        <w:iCs/>
        <w:sz w:val="24"/>
        <w:szCs w:val="24"/>
      </w:rPr>
      <w:t>Small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6150D"/>
    <w:multiLevelType w:val="multilevel"/>
    <w:tmpl w:val="977AA4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C930417"/>
    <w:multiLevelType w:val="multilevel"/>
    <w:tmpl w:val="10AA85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33716952">
    <w:abstractNumId w:val="0"/>
  </w:num>
  <w:num w:numId="2" w16cid:durableId="20861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doNotBreakWrappedTables/>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D1237"/>
    <w:rsid w:val="00322C39"/>
    <w:rsid w:val="00361E57"/>
    <w:rsid w:val="005D623B"/>
    <w:rsid w:val="006B5D7C"/>
    <w:rsid w:val="006E1842"/>
    <w:rsid w:val="00750FD4"/>
    <w:rsid w:val="009A4549"/>
    <w:rsid w:val="009E3FAF"/>
    <w:rsid w:val="00BD1237"/>
    <w:rsid w:val="00E23B0F"/>
    <w:rsid w:val="00EF14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030A25E"/>
  <w15:docId w15:val="{28A6A08C-1409-4B01-9665-63D162CD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ahoma"/>
        <w:kern w:val="2"/>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spacing w:after="160" w:line="259" w:lineRule="auto"/>
    </w:p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themeColor="dark1" w:themeTint="A6"/>
    </w:rPr>
  </w:style>
  <w:style w:type="paragraph" w:styleId="Heading7">
    <w:name w:val="heading 7"/>
    <w:basedOn w:val="Normal"/>
    <w:next w:val="Normal"/>
    <w:link w:val="Heading7Char"/>
    <w:qFormat/>
    <w:pPr>
      <w:keepNext/>
      <w:keepLines/>
      <w:spacing w:before="40" w:after="0"/>
      <w:outlineLvl w:val="6"/>
    </w:pPr>
    <w:rPr>
      <w:color w:val="595959" w:themeColor="dark1" w:themeTint="A6"/>
    </w:rPr>
  </w:style>
  <w:style w:type="paragraph" w:styleId="Heading8">
    <w:name w:val="heading 8"/>
    <w:basedOn w:val="Normal"/>
    <w:next w:val="Normal"/>
    <w:link w:val="Heading8Char"/>
    <w:qFormat/>
    <w:pPr>
      <w:keepNext/>
      <w:keepLines/>
      <w:spacing w:after="0"/>
      <w:outlineLvl w:val="7"/>
    </w:pPr>
    <w:rPr>
      <w:i/>
      <w:iCs/>
      <w:color w:val="272727" w:themeColor="dark1" w:themeTint="D8"/>
    </w:rPr>
  </w:style>
  <w:style w:type="paragraph" w:styleId="Heading9">
    <w:name w:val="heading 9"/>
    <w:basedOn w:val="Normal"/>
    <w:next w:val="Normal"/>
    <w:link w:val="Heading9Char"/>
    <w:qFormat/>
    <w:pPr>
      <w:keepNext/>
      <w:keepLines/>
      <w:spacing w:after="0"/>
      <w:outlineLvl w:val="8"/>
    </w:pPr>
    <w:rPr>
      <w:color w:val="272727" w:themeColor="dark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Aptos Display" w:eastAsia="Aptos" w:hAnsi="Aptos Display" w:cs="Tahoma"/>
      <w:color w:val="0F4761" w:themeColor="accent1" w:themeShade="BF"/>
      <w:sz w:val="40"/>
      <w:szCs w:val="40"/>
    </w:rPr>
  </w:style>
  <w:style w:type="character" w:customStyle="1" w:styleId="Heading2Char">
    <w:name w:val="Heading 2 Char"/>
    <w:basedOn w:val="DefaultParagraphFont"/>
    <w:link w:val="Heading2"/>
    <w:qFormat/>
    <w:rPr>
      <w:rFonts w:ascii="Aptos Display" w:eastAsia="Aptos" w:hAnsi="Aptos Display" w:cs="Tahoma"/>
      <w:color w:val="0F4761" w:themeColor="accent1" w:themeShade="BF"/>
      <w:sz w:val="32"/>
      <w:szCs w:val="32"/>
    </w:rPr>
  </w:style>
  <w:style w:type="character" w:customStyle="1" w:styleId="Heading3Char">
    <w:name w:val="Heading 3 Char"/>
    <w:basedOn w:val="DefaultParagraphFont"/>
    <w:link w:val="Heading3"/>
    <w:qFormat/>
    <w:rPr>
      <w:rFonts w:eastAsia="Aptos" w:cs="Tahoma"/>
      <w:color w:val="0F4761" w:themeColor="accent1" w:themeShade="BF"/>
      <w:sz w:val="28"/>
      <w:szCs w:val="28"/>
    </w:rPr>
  </w:style>
  <w:style w:type="character" w:customStyle="1" w:styleId="Heading4Char">
    <w:name w:val="Heading 4 Char"/>
    <w:basedOn w:val="DefaultParagraphFont"/>
    <w:link w:val="Heading4"/>
    <w:qFormat/>
    <w:rPr>
      <w:rFonts w:eastAsia="Aptos" w:cs="Tahoma"/>
      <w:i/>
      <w:iCs/>
      <w:color w:val="0F4761" w:themeColor="accent1" w:themeShade="BF"/>
    </w:rPr>
  </w:style>
  <w:style w:type="character" w:customStyle="1" w:styleId="Heading5Char">
    <w:name w:val="Heading 5 Char"/>
    <w:basedOn w:val="DefaultParagraphFont"/>
    <w:link w:val="Heading5"/>
    <w:qFormat/>
    <w:rPr>
      <w:rFonts w:eastAsia="Aptos" w:cs="Tahoma"/>
      <w:color w:val="0F4761" w:themeColor="accent1" w:themeShade="BF"/>
    </w:rPr>
  </w:style>
  <w:style w:type="character" w:customStyle="1" w:styleId="Heading6Char">
    <w:name w:val="Heading 6 Char"/>
    <w:basedOn w:val="DefaultParagraphFont"/>
    <w:link w:val="Heading6"/>
    <w:qFormat/>
    <w:rPr>
      <w:rFonts w:eastAsia="Aptos" w:cs="Tahoma"/>
      <w:i/>
      <w:iCs/>
      <w:color w:val="595959" w:themeColor="dark1" w:themeTint="A6"/>
    </w:rPr>
  </w:style>
  <w:style w:type="character" w:customStyle="1" w:styleId="Heading7Char">
    <w:name w:val="Heading 7 Char"/>
    <w:basedOn w:val="DefaultParagraphFont"/>
    <w:link w:val="Heading7"/>
    <w:qFormat/>
    <w:rPr>
      <w:rFonts w:eastAsia="Aptos" w:cs="Tahoma"/>
      <w:color w:val="595959" w:themeColor="dark1" w:themeTint="A6"/>
    </w:rPr>
  </w:style>
  <w:style w:type="character" w:customStyle="1" w:styleId="Heading8Char">
    <w:name w:val="Heading 8 Char"/>
    <w:basedOn w:val="DefaultParagraphFont"/>
    <w:link w:val="Heading8"/>
    <w:qFormat/>
    <w:rPr>
      <w:rFonts w:eastAsia="Aptos" w:cs="Tahoma"/>
      <w:i/>
      <w:iCs/>
      <w:color w:val="272727" w:themeColor="dark1" w:themeTint="D8"/>
    </w:rPr>
  </w:style>
  <w:style w:type="character" w:customStyle="1" w:styleId="Heading9Char">
    <w:name w:val="Heading 9 Char"/>
    <w:basedOn w:val="DefaultParagraphFont"/>
    <w:link w:val="Heading9"/>
    <w:qFormat/>
    <w:rPr>
      <w:rFonts w:eastAsia="Aptos" w:cs="Tahoma"/>
      <w:color w:val="272727" w:themeColor="dark1" w:themeTint="D8"/>
    </w:rPr>
  </w:style>
  <w:style w:type="character" w:customStyle="1" w:styleId="TitleChar">
    <w:name w:val="Title Char"/>
    <w:basedOn w:val="DefaultParagraphFont"/>
    <w:link w:val="Title"/>
    <w:qFormat/>
    <w:rPr>
      <w:rFonts w:ascii="Aptos Display" w:eastAsia="Aptos" w:hAnsi="Aptos Display" w:cs="Tahoma"/>
      <w:spacing w:val="-10"/>
      <w:kern w:val="2"/>
      <w:sz w:val="56"/>
      <w:szCs w:val="56"/>
    </w:rPr>
  </w:style>
  <w:style w:type="character" w:customStyle="1" w:styleId="SubtitleChar">
    <w:name w:val="Subtitle Char"/>
    <w:basedOn w:val="DefaultParagraphFont"/>
    <w:link w:val="Subtitle"/>
    <w:qFormat/>
    <w:rPr>
      <w:rFonts w:eastAsia="Aptos" w:cs="Tahoma"/>
      <w:color w:val="595959" w:themeColor="dark1" w:themeTint="A6"/>
      <w:spacing w:val="15"/>
      <w:sz w:val="28"/>
      <w:szCs w:val="28"/>
    </w:rPr>
  </w:style>
  <w:style w:type="character" w:customStyle="1" w:styleId="QuoteChar">
    <w:name w:val="Quote Char"/>
    <w:basedOn w:val="DefaultParagraphFont"/>
    <w:link w:val="Quote"/>
    <w:qFormat/>
    <w:rPr>
      <w:i/>
      <w:iCs/>
      <w:color w:val="404040" w:themeColor="dark1" w:themeTint="BF"/>
    </w:rPr>
  </w:style>
  <w:style w:type="character" w:styleId="IntenseEmphasis">
    <w:name w:val="Intense Emphasis"/>
    <w:basedOn w:val="DefaultParagraphFont"/>
    <w:qFormat/>
    <w:rPr>
      <w:i/>
      <w:iCs/>
      <w:color w:val="0F4761" w:themeColor="accent1" w:themeShade="BF"/>
    </w:rPr>
  </w:style>
  <w:style w:type="character" w:customStyle="1" w:styleId="IntenseQuoteChar">
    <w:name w:val="Intense Quote Char"/>
    <w:basedOn w:val="DefaultParagraphFont"/>
    <w:link w:val="IntenseQuote"/>
    <w:qFormat/>
    <w:rPr>
      <w:i/>
      <w:iCs/>
      <w:color w:val="0F4761" w:themeColor="accent1" w:themeShade="BF"/>
    </w:rPr>
  </w:style>
  <w:style w:type="character" w:styleId="IntenseReference">
    <w:name w:val="Intense Reference"/>
    <w:basedOn w:val="DefaultParagraphFont"/>
    <w:qFormat/>
    <w:rPr>
      <w:b/>
      <w:bCs/>
      <w:smallCaps/>
      <w:color w:val="0F4761" w:themeColor="accent1" w:themeShade="BF"/>
      <w:spacing w:val="5"/>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Calibri" w:eastAsia="Microsoft YaHei" w:hAnsi="Calibri" w:cs="Arial"/>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customStyle="1" w:styleId="Index">
    <w:name w:val="Index"/>
    <w:basedOn w:val="Normal"/>
    <w:qFormat/>
    <w:pPr>
      <w:suppressLineNumbers/>
    </w:pPr>
    <w:rPr>
      <w:rFonts w:ascii="Calibri" w:hAnsi="Calibri" w:cs="Arial"/>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sz w:val="56"/>
      <w:szCs w:val="56"/>
    </w:rPr>
  </w:style>
  <w:style w:type="paragraph" w:styleId="Subtitle">
    <w:name w:val="Subtitle"/>
    <w:basedOn w:val="Normal"/>
    <w:next w:val="Normal"/>
    <w:link w:val="SubtitleChar"/>
    <w:uiPriority w:val="11"/>
    <w:qFormat/>
    <w:rPr>
      <w:color w:val="595959" w:themeColor="dark1" w:themeTint="A6"/>
      <w:spacing w:val="15"/>
      <w:sz w:val="28"/>
      <w:szCs w:val="28"/>
    </w:rPr>
  </w:style>
  <w:style w:type="paragraph" w:styleId="Quote">
    <w:name w:val="Quote"/>
    <w:basedOn w:val="Normal"/>
    <w:next w:val="Normal"/>
    <w:link w:val="QuoteChar"/>
    <w:qFormat/>
    <w:pPr>
      <w:spacing w:before="160"/>
      <w:jc w:val="center"/>
    </w:pPr>
    <w:rPr>
      <w:i/>
      <w:iCs/>
      <w:color w:val="404040" w:themeColor="dark1" w:themeTint="BF"/>
    </w:rPr>
  </w:style>
  <w:style w:type="paragraph" w:styleId="ListParagraph">
    <w:name w:val="List Paragraph"/>
    <w:basedOn w:val="Normal"/>
    <w:qFormat/>
    <w:pPr>
      <w:ind w:left="720"/>
      <w:contextualSpacing/>
    </w:pPr>
  </w:style>
  <w:style w:type="paragraph" w:styleId="IntenseQuote">
    <w:name w:val="Intense Quote"/>
    <w:basedOn w:val="Normal"/>
    <w:next w:val="Normal"/>
    <w:link w:val="IntenseQuoteChar"/>
    <w:qFormat/>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HeaderandFooter">
    <w:name w:val="Header and Footer"/>
    <w:basedOn w:val="Normal"/>
    <w:qFormat/>
    <w:pPr>
      <w:suppressLineNumbers/>
      <w:tabs>
        <w:tab w:val="center" w:pos="4513"/>
        <w:tab w:val="right" w:pos="9026"/>
      </w:tabs>
    </w:pPr>
  </w:style>
  <w:style w:type="paragraph" w:styleId="Header">
    <w:name w:val="header"/>
    <w:basedOn w:val="HeaderandFooter"/>
  </w:style>
  <w:style w:type="paragraph" w:styleId="Footer">
    <w:name w:val="footer"/>
    <w:basedOn w:val="HeaderandFooter"/>
  </w:style>
  <w:style w:type="paragraph" w:customStyle="1" w:styleId="Figure">
    <w:name w:val="Figure"/>
    <w:basedOn w:val="Caption"/>
    <w:qFormat/>
  </w:style>
  <w:style w:type="paragraph" w:customStyle="1" w:styleId="Table">
    <w:name w:val="Table"/>
    <w:basedOn w:val="Caption"/>
    <w:qFormat/>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7.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Number of Grants Distributed by Grant Type</a:t>
            </a:r>
          </a:p>
        </c:rich>
      </c:tx>
      <c:overlay val="0"/>
      <c:spPr>
        <a:noFill/>
        <a:ln w="0">
          <a:noFill/>
        </a:ln>
      </c:spPr>
    </c:title>
    <c:autoTitleDeleted val="0"/>
    <c:plotArea>
      <c:layout/>
      <c:pieChart>
        <c:varyColors val="1"/>
        <c:ser>
          <c:idx val="0"/>
          <c:order val="0"/>
          <c:tx>
            <c:strRef>
              <c:f>label 0</c:f>
              <c:strCache>
                <c:ptCount val="1"/>
                <c:pt idx="0">
                  <c:v>Totals Count</c:v>
                </c:pt>
              </c:strCache>
            </c:strRef>
          </c:tx>
          <c:spPr>
            <a:solidFill>
              <a:srgbClr val="004586"/>
            </a:solidFill>
            <a:ln w="0">
              <a:noFill/>
            </a:ln>
          </c:spPr>
          <c:dPt>
            <c:idx val="0"/>
            <c:bubble3D val="0"/>
            <c:extLst>
              <c:ext xmlns:c16="http://schemas.microsoft.com/office/drawing/2014/chart" uri="{C3380CC4-5D6E-409C-BE32-E72D297353CC}">
                <c16:uniqueId val="{00000001-2CBF-4742-97C2-D796F45D1213}"/>
              </c:ext>
            </c:extLst>
          </c:dPt>
          <c:dPt>
            <c:idx val="1"/>
            <c:bubble3D val="0"/>
            <c:spPr>
              <a:solidFill>
                <a:srgbClr val="FF420E"/>
              </a:solidFill>
              <a:ln w="0">
                <a:noFill/>
              </a:ln>
            </c:spPr>
            <c:extLst>
              <c:ext xmlns:c16="http://schemas.microsoft.com/office/drawing/2014/chart" uri="{C3380CC4-5D6E-409C-BE32-E72D297353CC}">
                <c16:uniqueId val="{00000003-2CBF-4742-97C2-D796F45D1213}"/>
              </c:ext>
            </c:extLst>
          </c:dPt>
          <c:dPt>
            <c:idx val="2"/>
            <c:bubble3D val="0"/>
            <c:spPr>
              <a:solidFill>
                <a:srgbClr val="FFD320"/>
              </a:solidFill>
              <a:ln w="0">
                <a:noFill/>
              </a:ln>
            </c:spPr>
            <c:extLst>
              <c:ext xmlns:c16="http://schemas.microsoft.com/office/drawing/2014/chart" uri="{C3380CC4-5D6E-409C-BE32-E72D297353CC}">
                <c16:uniqueId val="{00000005-2CBF-4742-97C2-D796F45D1213}"/>
              </c:ext>
            </c:extLst>
          </c:dPt>
          <c:dPt>
            <c:idx val="3"/>
            <c:bubble3D val="0"/>
            <c:spPr>
              <a:solidFill>
                <a:srgbClr val="579D1C"/>
              </a:solidFill>
              <a:ln w="0">
                <a:noFill/>
              </a:ln>
            </c:spPr>
            <c:extLst>
              <c:ext xmlns:c16="http://schemas.microsoft.com/office/drawing/2014/chart" uri="{C3380CC4-5D6E-409C-BE32-E72D297353CC}">
                <c16:uniqueId val="{00000007-2CBF-4742-97C2-D796F45D1213}"/>
              </c:ext>
            </c:extLst>
          </c:dPt>
          <c:dPt>
            <c:idx val="4"/>
            <c:bubble3D val="0"/>
            <c:spPr>
              <a:solidFill>
                <a:srgbClr val="7E0021"/>
              </a:solidFill>
              <a:ln w="0">
                <a:noFill/>
              </a:ln>
            </c:spPr>
            <c:extLst>
              <c:ext xmlns:c16="http://schemas.microsoft.com/office/drawing/2014/chart" uri="{C3380CC4-5D6E-409C-BE32-E72D297353CC}">
                <c16:uniqueId val="{00000009-2CBF-4742-97C2-D796F45D1213}"/>
              </c:ext>
            </c:extLst>
          </c:dPt>
          <c:dLbls>
            <c:dLbl>
              <c:idx val="0"/>
              <c:numFmt formatCode="General" sourceLinked="0"/>
              <c:spPr/>
              <c:txPr>
                <a:bodyPr wrap="none"/>
                <a:lstStyle/>
                <a:p>
                  <a:pPr>
                    <a:defRPr lang="en-GB" sz="1000" b="0" u="none" strike="noStrike">
                      <a:solidFill>
                        <a:srgbClr val="000000"/>
                      </a:solidFill>
                      <a:uFillTx/>
                      <a:latin typeface="Arial"/>
                    </a:defRPr>
                  </a:pPr>
                  <a:endParaRPr lang="en-US"/>
                </a:p>
              </c:txPr>
              <c:dLblPos val="in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2CBF-4742-97C2-D796F45D1213}"/>
                </c:ext>
              </c:extLst>
            </c:dLbl>
            <c:dLbl>
              <c:idx val="1"/>
              <c:numFmt formatCode="General" sourceLinked="0"/>
              <c:spPr/>
              <c:txPr>
                <a:bodyPr wrap="none"/>
                <a:lstStyle/>
                <a:p>
                  <a:pPr>
                    <a:defRPr lang="en-GB" sz="1000" b="0" u="none" strike="noStrike">
                      <a:solidFill>
                        <a:srgbClr val="000000"/>
                      </a:solidFill>
                      <a:uFillTx/>
                      <a:latin typeface="Arial"/>
                    </a:defRPr>
                  </a:pPr>
                  <a:endParaRPr lang="en-US"/>
                </a:p>
              </c:txPr>
              <c:dLblPos val="in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CBF-4742-97C2-D796F45D1213}"/>
                </c:ext>
              </c:extLst>
            </c:dLbl>
            <c:dLbl>
              <c:idx val="2"/>
              <c:numFmt formatCode="General" sourceLinked="0"/>
              <c:spPr/>
              <c:txPr>
                <a:bodyPr wrap="none"/>
                <a:lstStyle/>
                <a:p>
                  <a:pPr>
                    <a:defRPr lang="en-GB" sz="1000" b="0" u="none" strike="noStrike">
                      <a:solidFill>
                        <a:srgbClr val="000000"/>
                      </a:solidFill>
                      <a:uFillTx/>
                      <a:latin typeface="Arial"/>
                    </a:defRPr>
                  </a:pPr>
                  <a:endParaRPr lang="en-US"/>
                </a:p>
              </c:txPr>
              <c:dLblPos val="in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CBF-4742-97C2-D796F45D1213}"/>
                </c:ext>
              </c:extLst>
            </c:dLbl>
            <c:dLbl>
              <c:idx val="3"/>
              <c:numFmt formatCode="General" sourceLinked="0"/>
              <c:spPr/>
              <c:txPr>
                <a:bodyPr wrap="none"/>
                <a:lstStyle/>
                <a:p>
                  <a:pPr>
                    <a:defRPr lang="en-GB" sz="1000" b="0" u="none" strike="noStrike">
                      <a:solidFill>
                        <a:srgbClr val="000000"/>
                      </a:solidFill>
                      <a:uFillTx/>
                      <a:latin typeface="Arial"/>
                    </a:defRPr>
                  </a:pPr>
                  <a:endParaRPr lang="en-US"/>
                </a:p>
              </c:txPr>
              <c:dLblPos val="in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CBF-4742-97C2-D796F45D1213}"/>
                </c:ext>
              </c:extLst>
            </c:dLbl>
            <c:dLbl>
              <c:idx val="4"/>
              <c:numFmt formatCode="General" sourceLinked="0"/>
              <c:spPr/>
              <c:txPr>
                <a:bodyPr wrap="none"/>
                <a:lstStyle/>
                <a:p>
                  <a:pPr>
                    <a:defRPr lang="en-GB" sz="1000" b="0" u="none" strike="noStrike">
                      <a:solidFill>
                        <a:srgbClr val="000000"/>
                      </a:solidFill>
                      <a:uFillTx/>
                      <a:latin typeface="Arial"/>
                    </a:defRPr>
                  </a:pPr>
                  <a:endParaRPr lang="en-US"/>
                </a:p>
              </c:txPr>
              <c:dLblPos val="in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2CBF-4742-97C2-D796F45D1213}"/>
                </c:ext>
              </c:extLst>
            </c:dLbl>
            <c:numFmt formatCode="General"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inEnd"/>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5"/>
                <c:pt idx="0">
                  <c:v>Constituted Community Group</c:v>
                </c:pt>
                <c:pt idx="1">
                  <c:v>Individual Sporting</c:v>
                </c:pt>
                <c:pt idx="2">
                  <c:v>Large Group</c:v>
                </c:pt>
                <c:pt idx="3">
                  <c:v>Non-constituted Community Group</c:v>
                </c:pt>
                <c:pt idx="4">
                  <c:v>Student</c:v>
                </c:pt>
              </c:strCache>
            </c:strRef>
          </c:cat>
          <c:val>
            <c:numRef>
              <c:f>0</c:f>
              <c:numCache>
                <c:formatCode>General</c:formatCode>
                <c:ptCount val="5"/>
                <c:pt idx="0">
                  <c:v>27</c:v>
                </c:pt>
                <c:pt idx="1">
                  <c:v>13</c:v>
                </c:pt>
                <c:pt idx="2">
                  <c:v>4</c:v>
                </c:pt>
                <c:pt idx="3">
                  <c:v>22</c:v>
                </c:pt>
                <c:pt idx="4">
                  <c:v>133</c:v>
                </c:pt>
              </c:numCache>
            </c:numRef>
          </c:val>
          <c:extLst>
            <c:ext xmlns:c16="http://schemas.microsoft.com/office/drawing/2014/chart" uri="{C3380CC4-5D6E-409C-BE32-E72D297353CC}">
              <c16:uniqueId val="{0000000A-2CBF-4742-97C2-D796F45D1213}"/>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Amount Of Grants Awarded By Grant Type</a:t>
            </a:r>
          </a:p>
        </c:rich>
      </c:tx>
      <c:overlay val="0"/>
      <c:spPr>
        <a:noFill/>
        <a:ln w="0">
          <a:noFill/>
        </a:ln>
      </c:spPr>
    </c:title>
    <c:autoTitleDeleted val="0"/>
    <c:plotArea>
      <c:layout/>
      <c:pieChart>
        <c:varyColors val="1"/>
        <c:ser>
          <c:idx val="0"/>
          <c:order val="0"/>
          <c:tx>
            <c:strRef>
              <c:f>label 0</c:f>
              <c:strCache>
                <c:ptCount val="1"/>
                <c:pt idx="0">
                  <c:v>Column O</c:v>
                </c:pt>
              </c:strCache>
            </c:strRef>
          </c:tx>
          <c:spPr>
            <a:solidFill>
              <a:srgbClr val="004586"/>
            </a:solidFill>
            <a:ln w="0">
              <a:noFill/>
            </a:ln>
          </c:spPr>
          <c:dPt>
            <c:idx val="0"/>
            <c:bubble3D val="0"/>
            <c:extLst>
              <c:ext xmlns:c16="http://schemas.microsoft.com/office/drawing/2014/chart" uri="{C3380CC4-5D6E-409C-BE32-E72D297353CC}">
                <c16:uniqueId val="{00000001-28CE-41D9-951B-280240564AA3}"/>
              </c:ext>
            </c:extLst>
          </c:dPt>
          <c:dPt>
            <c:idx val="1"/>
            <c:bubble3D val="0"/>
            <c:spPr>
              <a:solidFill>
                <a:srgbClr val="FF420E"/>
              </a:solidFill>
              <a:ln w="0">
                <a:noFill/>
              </a:ln>
            </c:spPr>
            <c:extLst>
              <c:ext xmlns:c16="http://schemas.microsoft.com/office/drawing/2014/chart" uri="{C3380CC4-5D6E-409C-BE32-E72D297353CC}">
                <c16:uniqueId val="{00000003-28CE-41D9-951B-280240564AA3}"/>
              </c:ext>
            </c:extLst>
          </c:dPt>
          <c:dPt>
            <c:idx val="2"/>
            <c:bubble3D val="0"/>
            <c:spPr>
              <a:solidFill>
                <a:srgbClr val="FFD320"/>
              </a:solidFill>
              <a:ln w="0">
                <a:noFill/>
              </a:ln>
            </c:spPr>
            <c:extLst>
              <c:ext xmlns:c16="http://schemas.microsoft.com/office/drawing/2014/chart" uri="{C3380CC4-5D6E-409C-BE32-E72D297353CC}">
                <c16:uniqueId val="{00000005-28CE-41D9-951B-280240564AA3}"/>
              </c:ext>
            </c:extLst>
          </c:dPt>
          <c:dPt>
            <c:idx val="3"/>
            <c:bubble3D val="0"/>
            <c:spPr>
              <a:solidFill>
                <a:srgbClr val="579D1C"/>
              </a:solidFill>
              <a:ln w="0">
                <a:noFill/>
              </a:ln>
            </c:spPr>
            <c:extLst>
              <c:ext xmlns:c16="http://schemas.microsoft.com/office/drawing/2014/chart" uri="{C3380CC4-5D6E-409C-BE32-E72D297353CC}">
                <c16:uniqueId val="{00000007-28CE-41D9-951B-280240564AA3}"/>
              </c:ext>
            </c:extLst>
          </c:dPt>
          <c:dPt>
            <c:idx val="4"/>
            <c:bubble3D val="0"/>
            <c:spPr>
              <a:solidFill>
                <a:srgbClr val="7E0021"/>
              </a:solidFill>
              <a:ln w="0">
                <a:noFill/>
              </a:ln>
            </c:spPr>
            <c:extLst>
              <c:ext xmlns:c16="http://schemas.microsoft.com/office/drawing/2014/chart" uri="{C3380CC4-5D6E-409C-BE32-E72D297353CC}">
                <c16:uniqueId val="{00000009-28CE-41D9-951B-280240564AA3}"/>
              </c:ext>
            </c:extLst>
          </c:dPt>
          <c:dLbls>
            <c:dLbl>
              <c:idx val="0"/>
              <c:numFmt formatCode="[$£-809]#,##0;[Red]\-[$£-809]#,##0"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28CE-41D9-951B-280240564AA3}"/>
                </c:ext>
              </c:extLst>
            </c:dLbl>
            <c:dLbl>
              <c:idx val="1"/>
              <c:numFmt formatCode="[$£-809]#,##0;[Red]\-[$£-809]#,##0"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8CE-41D9-951B-280240564AA3}"/>
                </c:ext>
              </c:extLst>
            </c:dLbl>
            <c:dLbl>
              <c:idx val="2"/>
              <c:numFmt formatCode="[$£-809]#,##0;[Red]\-[$£-809]#,##0"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8CE-41D9-951B-280240564AA3}"/>
                </c:ext>
              </c:extLst>
            </c:dLbl>
            <c:dLbl>
              <c:idx val="3"/>
              <c:numFmt formatCode="[$£-809]#,##0;[Red]\-[$£-809]#,##0"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28CE-41D9-951B-280240564AA3}"/>
                </c:ext>
              </c:extLst>
            </c:dLbl>
            <c:dLbl>
              <c:idx val="4"/>
              <c:numFmt formatCode="[$£-809]#,##0;[Red]\-[$£-809]#,##0"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28CE-41D9-951B-280240564AA3}"/>
                </c:ext>
              </c:extLst>
            </c:dLbl>
            <c:numFmt formatCode="[$£-809]#,##0;[Red]\-[$£-809]#,##0"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bestFit"/>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5"/>
                <c:pt idx="0">
                  <c:v>Constituted Community Group</c:v>
                </c:pt>
                <c:pt idx="1">
                  <c:v>Individual Sporting</c:v>
                </c:pt>
                <c:pt idx="2">
                  <c:v>Large Group</c:v>
                </c:pt>
                <c:pt idx="3">
                  <c:v>Non-constituted Community Group</c:v>
                </c:pt>
                <c:pt idx="4">
                  <c:v>Student</c:v>
                </c:pt>
              </c:strCache>
            </c:strRef>
          </c:cat>
          <c:val>
            <c:numRef>
              <c:f>0</c:f>
              <c:numCache>
                <c:formatCode>General</c:formatCode>
                <c:ptCount val="5"/>
                <c:pt idx="0">
                  <c:v>238201.27</c:v>
                </c:pt>
                <c:pt idx="1">
                  <c:v>3750</c:v>
                </c:pt>
                <c:pt idx="2">
                  <c:v>129517</c:v>
                </c:pt>
                <c:pt idx="3">
                  <c:v>19234.04</c:v>
                </c:pt>
                <c:pt idx="4">
                  <c:v>55530.12</c:v>
                </c:pt>
              </c:numCache>
            </c:numRef>
          </c:val>
          <c:extLst>
            <c:ext xmlns:c16="http://schemas.microsoft.com/office/drawing/2014/chart" uri="{C3380CC4-5D6E-409C-BE32-E72D297353CC}">
              <c16:uniqueId val="{0000000A-28CE-41D9-951B-280240564AA3}"/>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Number of Grants Awarded to Groups</a:t>
            </a:r>
          </a:p>
        </c:rich>
      </c:tx>
      <c:overlay val="0"/>
      <c:spPr>
        <a:noFill/>
        <a:ln w="0">
          <a:noFill/>
        </a:ln>
      </c:spPr>
    </c:title>
    <c:autoTitleDeleted val="0"/>
    <c:plotArea>
      <c:layout/>
      <c:pieChart>
        <c:varyColors val="1"/>
        <c:ser>
          <c:idx val="0"/>
          <c:order val="0"/>
          <c:tx>
            <c:strRef>
              <c:f>label 0</c:f>
              <c:strCache>
                <c:ptCount val="1"/>
                <c:pt idx="0">
                  <c:v>Column B</c:v>
                </c:pt>
              </c:strCache>
            </c:strRef>
          </c:tx>
          <c:spPr>
            <a:solidFill>
              <a:srgbClr val="004586"/>
            </a:solidFill>
            <a:ln w="0">
              <a:noFill/>
            </a:ln>
          </c:spPr>
          <c:dPt>
            <c:idx val="0"/>
            <c:bubble3D val="0"/>
            <c:extLst>
              <c:ext xmlns:c16="http://schemas.microsoft.com/office/drawing/2014/chart" uri="{C3380CC4-5D6E-409C-BE32-E72D297353CC}">
                <c16:uniqueId val="{00000001-DEB3-42BB-B7B5-FC877F5DB5C8}"/>
              </c:ext>
            </c:extLst>
          </c:dPt>
          <c:dPt>
            <c:idx val="1"/>
            <c:bubble3D val="0"/>
            <c:spPr>
              <a:solidFill>
                <a:srgbClr val="FF420E"/>
              </a:solidFill>
              <a:ln w="0">
                <a:noFill/>
              </a:ln>
            </c:spPr>
            <c:extLst>
              <c:ext xmlns:c16="http://schemas.microsoft.com/office/drawing/2014/chart" uri="{C3380CC4-5D6E-409C-BE32-E72D297353CC}">
                <c16:uniqueId val="{00000003-DEB3-42BB-B7B5-FC877F5DB5C8}"/>
              </c:ext>
            </c:extLst>
          </c:dPt>
          <c:dPt>
            <c:idx val="2"/>
            <c:bubble3D val="0"/>
            <c:spPr>
              <a:solidFill>
                <a:srgbClr val="FFD320"/>
              </a:solidFill>
              <a:ln w="0">
                <a:noFill/>
              </a:ln>
            </c:spPr>
            <c:extLst>
              <c:ext xmlns:c16="http://schemas.microsoft.com/office/drawing/2014/chart" uri="{C3380CC4-5D6E-409C-BE32-E72D297353CC}">
                <c16:uniqueId val="{00000005-DEB3-42BB-B7B5-FC877F5DB5C8}"/>
              </c:ext>
            </c:extLst>
          </c:dPt>
          <c:dLbls>
            <c:dLbl>
              <c:idx val="0"/>
              <c:numFmt formatCode="General"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DEB3-42BB-B7B5-FC877F5DB5C8}"/>
                </c:ext>
              </c:extLst>
            </c:dLbl>
            <c:dLbl>
              <c:idx val="1"/>
              <c:numFmt formatCode="General"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DEB3-42BB-B7B5-FC877F5DB5C8}"/>
                </c:ext>
              </c:extLst>
            </c:dLbl>
            <c:dLbl>
              <c:idx val="2"/>
              <c:numFmt formatCode="General" sourceLinked="0"/>
              <c:spPr/>
              <c:txPr>
                <a:bodyPr wrap="none"/>
                <a:lstStyle/>
                <a:p>
                  <a:pPr>
                    <a:defRPr lang="en-GB" sz="1000" b="0" u="none" strike="noStrike">
                      <a:solidFill>
                        <a:srgbClr val="000000"/>
                      </a:solidFill>
                      <a:uFillTx/>
                      <a:latin typeface="Arial"/>
                    </a:defRPr>
                  </a:pPr>
                  <a:endParaRPr lang="en-US"/>
                </a:p>
              </c:txPr>
              <c:dLblPos val="bestFit"/>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DEB3-42BB-B7B5-FC877F5DB5C8}"/>
                </c:ext>
              </c:extLst>
            </c:dLbl>
            <c:numFmt formatCode="General"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bestFit"/>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3"/>
                <c:pt idx="0">
                  <c:v>Constituted Community Group</c:v>
                </c:pt>
                <c:pt idx="1">
                  <c:v>Large Group</c:v>
                </c:pt>
                <c:pt idx="2">
                  <c:v>Non-constituted Community Group</c:v>
                </c:pt>
              </c:strCache>
            </c:strRef>
          </c:cat>
          <c:val>
            <c:numRef>
              <c:f>0</c:f>
              <c:numCache>
                <c:formatCode>General</c:formatCode>
                <c:ptCount val="3"/>
                <c:pt idx="0">
                  <c:v>27</c:v>
                </c:pt>
                <c:pt idx="1">
                  <c:v>4</c:v>
                </c:pt>
                <c:pt idx="2">
                  <c:v>22</c:v>
                </c:pt>
              </c:numCache>
            </c:numRef>
          </c:val>
          <c:extLst>
            <c:ext xmlns:c16="http://schemas.microsoft.com/office/drawing/2014/chart" uri="{C3380CC4-5D6E-409C-BE32-E72D297353CC}">
              <c16:uniqueId val="{00000006-DEB3-42BB-B7B5-FC877F5DB5C8}"/>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Amount of Grants Awarded </a:t>
            </a:r>
          </a:p>
          <a:p>
            <a:pPr>
              <a:defRPr lang="en-GB" sz="1300" b="0" u="none" strike="noStrike">
                <a:uFillTx/>
                <a:latin typeface="Arial"/>
              </a:defRPr>
            </a:pPr>
            <a:r>
              <a:rPr lang="en-GB" sz="1300" b="0" u="none" strike="noStrike">
                <a:solidFill>
                  <a:srgbClr val="000000"/>
                </a:solidFill>
                <a:uFillTx/>
                <a:latin typeface="Arial"/>
                <a:ea typeface="DejaVu Sans"/>
              </a:rPr>
              <a:t>to Groups</a:t>
            </a:r>
          </a:p>
        </c:rich>
      </c:tx>
      <c:layout>
        <c:manualLayout>
          <c:xMode val="edge"/>
          <c:yMode val="edge"/>
          <c:x val="0.21228872791968501"/>
          <c:y val="3.4787472035794201E-2"/>
        </c:manualLayout>
      </c:layout>
      <c:overlay val="0"/>
      <c:spPr>
        <a:noFill/>
        <a:ln w="0">
          <a:noFill/>
        </a:ln>
      </c:spPr>
    </c:title>
    <c:autoTitleDeleted val="0"/>
    <c:plotArea>
      <c:layout/>
      <c:pieChart>
        <c:varyColors val="1"/>
        <c:ser>
          <c:idx val="0"/>
          <c:order val="0"/>
          <c:tx>
            <c:strRef>
              <c:f>label 0</c:f>
              <c:strCache>
                <c:ptCount val="1"/>
                <c:pt idx="0">
                  <c:v>Column C</c:v>
                </c:pt>
              </c:strCache>
            </c:strRef>
          </c:tx>
          <c:spPr>
            <a:solidFill>
              <a:srgbClr val="004586"/>
            </a:solidFill>
            <a:ln w="0">
              <a:noFill/>
            </a:ln>
          </c:spPr>
          <c:dPt>
            <c:idx val="0"/>
            <c:bubble3D val="0"/>
            <c:extLst>
              <c:ext xmlns:c16="http://schemas.microsoft.com/office/drawing/2014/chart" uri="{C3380CC4-5D6E-409C-BE32-E72D297353CC}">
                <c16:uniqueId val="{00000001-28BA-4BAB-8136-FBE91D0605B2}"/>
              </c:ext>
            </c:extLst>
          </c:dPt>
          <c:dPt>
            <c:idx val="1"/>
            <c:bubble3D val="0"/>
            <c:spPr>
              <a:solidFill>
                <a:srgbClr val="FF420E"/>
              </a:solidFill>
              <a:ln w="0">
                <a:noFill/>
              </a:ln>
            </c:spPr>
            <c:extLst>
              <c:ext xmlns:c16="http://schemas.microsoft.com/office/drawing/2014/chart" uri="{C3380CC4-5D6E-409C-BE32-E72D297353CC}">
                <c16:uniqueId val="{00000003-28BA-4BAB-8136-FBE91D0605B2}"/>
              </c:ext>
            </c:extLst>
          </c:dPt>
          <c:dPt>
            <c:idx val="2"/>
            <c:bubble3D val="0"/>
            <c:spPr>
              <a:solidFill>
                <a:srgbClr val="FFD320"/>
              </a:solidFill>
              <a:ln w="0">
                <a:noFill/>
              </a:ln>
            </c:spPr>
            <c:extLst>
              <c:ext xmlns:c16="http://schemas.microsoft.com/office/drawing/2014/chart" uri="{C3380CC4-5D6E-409C-BE32-E72D297353CC}">
                <c16:uniqueId val="{00000005-28BA-4BAB-8136-FBE91D0605B2}"/>
              </c:ext>
            </c:extLst>
          </c:dPt>
          <c:dLbls>
            <c:dLbl>
              <c:idx val="0"/>
              <c:numFmt formatCode="[$£-809]#,##0;[Red]\-[$£-809]#,##0"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28BA-4BAB-8136-FBE91D0605B2}"/>
                </c:ext>
              </c:extLst>
            </c:dLbl>
            <c:dLbl>
              <c:idx val="1"/>
              <c:numFmt formatCode="[$£-809]#,##0;[Red]\-[$£-809]#,##0"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28BA-4BAB-8136-FBE91D0605B2}"/>
                </c:ext>
              </c:extLst>
            </c:dLbl>
            <c:dLbl>
              <c:idx val="2"/>
              <c:numFmt formatCode="[$£-809]#,##0;[Red]\-[$£-809]#,##0"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8BA-4BAB-8136-FBE91D0605B2}"/>
                </c:ext>
              </c:extLst>
            </c:dLbl>
            <c:numFmt formatCode="[$£-809]#,##0;[Red]\-[$£-809]#,##0"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outEnd"/>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3"/>
                <c:pt idx="0">
                  <c:v>Constituted Community Group</c:v>
                </c:pt>
                <c:pt idx="1">
                  <c:v>Large Group</c:v>
                </c:pt>
                <c:pt idx="2">
                  <c:v>Non-constituted Community Group</c:v>
                </c:pt>
              </c:strCache>
            </c:strRef>
          </c:cat>
          <c:val>
            <c:numRef>
              <c:f>0</c:f>
              <c:numCache>
                <c:formatCode>General</c:formatCode>
                <c:ptCount val="3"/>
                <c:pt idx="0">
                  <c:v>238201.27</c:v>
                </c:pt>
                <c:pt idx="1">
                  <c:v>129517</c:v>
                </c:pt>
                <c:pt idx="2">
                  <c:v>19234.04</c:v>
                </c:pt>
              </c:numCache>
            </c:numRef>
          </c:val>
          <c:extLst>
            <c:ext xmlns:c16="http://schemas.microsoft.com/office/drawing/2014/chart" uri="{C3380CC4-5D6E-409C-BE32-E72D297353CC}">
              <c16:uniqueId val="{00000006-28BA-4BAB-8136-FBE91D0605B2}"/>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Number of Groups Receiving Single or Multiple Awards</a:t>
            </a:r>
          </a:p>
        </c:rich>
      </c:tx>
      <c:overlay val="0"/>
      <c:spPr>
        <a:noFill/>
        <a:ln w="0">
          <a:noFill/>
        </a:ln>
      </c:spPr>
    </c:title>
    <c:autoTitleDeleted val="0"/>
    <c:plotArea>
      <c:layout/>
      <c:barChart>
        <c:barDir val="col"/>
        <c:grouping val="stacked"/>
        <c:varyColors val="0"/>
        <c:ser>
          <c:idx val="0"/>
          <c:order val="0"/>
          <c:tx>
            <c:strRef>
              <c:f>label 0</c:f>
              <c:strCache>
                <c:ptCount val="1"/>
                <c:pt idx="0">
                  <c:v>Constituted Community Group</c:v>
                </c:pt>
              </c:strCache>
            </c:strRef>
          </c:tx>
          <c:spPr>
            <a:solidFill>
              <a:srgbClr val="004586"/>
            </a:solidFill>
            <a:ln w="0">
              <a:noFill/>
            </a:ln>
          </c:spPr>
          <c:invertIfNegative val="0"/>
          <c:dLbls>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1</c:v>
                </c:pt>
                <c:pt idx="1">
                  <c:v>2</c:v>
                </c:pt>
                <c:pt idx="2">
                  <c:v>3</c:v>
                </c:pt>
              </c:strCache>
            </c:strRef>
          </c:cat>
          <c:val>
            <c:numRef>
              <c:f>0</c:f>
              <c:numCache>
                <c:formatCode>General</c:formatCode>
                <c:ptCount val="3"/>
                <c:pt idx="0">
                  <c:v>8</c:v>
                </c:pt>
                <c:pt idx="1">
                  <c:v>1</c:v>
                </c:pt>
                <c:pt idx="2">
                  <c:v>4</c:v>
                </c:pt>
              </c:numCache>
            </c:numRef>
          </c:val>
          <c:extLst>
            <c:ext xmlns:c16="http://schemas.microsoft.com/office/drawing/2014/chart" uri="{C3380CC4-5D6E-409C-BE32-E72D297353CC}">
              <c16:uniqueId val="{00000000-E093-4C4B-939A-D63508F7E365}"/>
            </c:ext>
          </c:extLst>
        </c:ser>
        <c:ser>
          <c:idx val="1"/>
          <c:order val="1"/>
          <c:tx>
            <c:strRef>
              <c:f>label 1</c:f>
              <c:strCache>
                <c:ptCount val="1"/>
                <c:pt idx="0">
                  <c:v>Large Group</c:v>
                </c:pt>
              </c:strCache>
            </c:strRef>
          </c:tx>
          <c:spPr>
            <a:solidFill>
              <a:srgbClr val="FF420E"/>
            </a:solidFill>
            <a:ln w="0">
              <a:noFill/>
            </a:ln>
          </c:spPr>
          <c:invertIfNegative val="0"/>
          <c:dLbls>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1</c:v>
                </c:pt>
                <c:pt idx="1">
                  <c:v>2</c:v>
                </c:pt>
                <c:pt idx="2">
                  <c:v>3</c:v>
                </c:pt>
              </c:strCache>
            </c:strRef>
          </c:cat>
          <c:val>
            <c:numRef>
              <c:f>1</c:f>
              <c:numCache>
                <c:formatCode>General</c:formatCode>
                <c:ptCount val="3"/>
                <c:pt idx="0">
                  <c:v>0</c:v>
                </c:pt>
                <c:pt idx="1">
                  <c:v>0</c:v>
                </c:pt>
                <c:pt idx="2">
                  <c:v>1</c:v>
                </c:pt>
              </c:numCache>
            </c:numRef>
          </c:val>
          <c:extLst>
            <c:ext xmlns:c16="http://schemas.microsoft.com/office/drawing/2014/chart" uri="{C3380CC4-5D6E-409C-BE32-E72D297353CC}">
              <c16:uniqueId val="{00000001-E093-4C4B-939A-D63508F7E365}"/>
            </c:ext>
          </c:extLst>
        </c:ser>
        <c:ser>
          <c:idx val="2"/>
          <c:order val="2"/>
          <c:tx>
            <c:strRef>
              <c:f>label 2</c:f>
              <c:strCache>
                <c:ptCount val="1"/>
                <c:pt idx="0">
                  <c:v>Non-constituted Community Group</c:v>
                </c:pt>
              </c:strCache>
            </c:strRef>
          </c:tx>
          <c:spPr>
            <a:solidFill>
              <a:srgbClr val="FFD320"/>
            </a:solidFill>
            <a:ln w="0">
              <a:noFill/>
            </a:ln>
          </c:spPr>
          <c:invertIfNegative val="0"/>
          <c:dLbls>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1</c:v>
                </c:pt>
                <c:pt idx="1">
                  <c:v>2</c:v>
                </c:pt>
                <c:pt idx="2">
                  <c:v>3</c:v>
                </c:pt>
              </c:strCache>
            </c:strRef>
          </c:cat>
          <c:val>
            <c:numRef>
              <c:f>2</c:f>
              <c:numCache>
                <c:formatCode>General</c:formatCode>
                <c:ptCount val="3"/>
                <c:pt idx="0">
                  <c:v>14</c:v>
                </c:pt>
                <c:pt idx="1">
                  <c:v>4</c:v>
                </c:pt>
                <c:pt idx="2">
                  <c:v>0</c:v>
                </c:pt>
              </c:numCache>
            </c:numRef>
          </c:val>
          <c:extLst>
            <c:ext xmlns:c16="http://schemas.microsoft.com/office/drawing/2014/chart" uri="{C3380CC4-5D6E-409C-BE32-E72D297353CC}">
              <c16:uniqueId val="{00000002-E093-4C4B-939A-D63508F7E365}"/>
            </c:ext>
          </c:extLst>
        </c:ser>
        <c:dLbls>
          <c:showLegendKey val="0"/>
          <c:showVal val="0"/>
          <c:showCatName val="0"/>
          <c:showSerName val="0"/>
          <c:showPercent val="0"/>
          <c:showBubbleSize val="0"/>
        </c:dLbls>
        <c:gapWidth val="100"/>
        <c:overlap val="100"/>
        <c:axId val="47812644"/>
        <c:axId val="13065889"/>
      </c:barChart>
      <c:catAx>
        <c:axId val="47812644"/>
        <c:scaling>
          <c:orientation val="minMax"/>
        </c:scaling>
        <c:delete val="1"/>
        <c:axPos val="b"/>
        <c:title>
          <c:tx>
            <c:rich>
              <a:bodyPr rot="0"/>
              <a:lstStyle/>
              <a:p>
                <a:pPr>
                  <a:defRPr lang="en-GB" sz="1300" b="0" u="none" strike="noStrike">
                    <a:uFillTx/>
                    <a:latin typeface="Arial"/>
                  </a:defRPr>
                </a:pPr>
                <a:r>
                  <a:rPr lang="en-GB" sz="900" b="0" u="none" strike="noStrike">
                    <a:solidFill>
                      <a:srgbClr val="000000"/>
                    </a:solidFill>
                    <a:uFillTx/>
                    <a:latin typeface="Arial"/>
                    <a:ea typeface="DejaVu Sans"/>
                  </a:rPr>
                  <a:t>Number of Awards - 1, 2, 3 or more</a:t>
                </a:r>
              </a:p>
            </c:rich>
          </c:tx>
          <c:layout>
            <c:manualLayout>
              <c:xMode val="edge"/>
              <c:yMode val="edge"/>
              <c:x val="0.187578655927511"/>
              <c:y val="0.90292999329009205"/>
            </c:manualLayout>
          </c:layout>
          <c:overlay val="0"/>
          <c:spPr>
            <a:noFill/>
            <a:ln w="0">
              <a:noFill/>
            </a:ln>
          </c:spPr>
        </c:title>
        <c:numFmt formatCode="General" sourceLinked="0"/>
        <c:majorTickMark val="out"/>
        <c:minorTickMark val="none"/>
        <c:tickLblPos val="nextTo"/>
        <c:crossAx val="13065889"/>
        <c:crosses val="autoZero"/>
        <c:auto val="1"/>
        <c:lblAlgn val="ctr"/>
        <c:lblOffset val="100"/>
        <c:noMultiLvlLbl val="0"/>
      </c:catAx>
      <c:valAx>
        <c:axId val="13065889"/>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lang="en-GB" sz="1000" b="0" u="none" strike="noStrike">
                <a:solidFill>
                  <a:srgbClr val="000000"/>
                </a:solidFill>
                <a:uFillTx/>
                <a:latin typeface="Arial"/>
                <a:ea typeface="DejaVu Sans"/>
              </a:defRPr>
            </a:pPr>
            <a:endParaRPr lang="en-US"/>
          </a:p>
        </c:txPr>
        <c:crossAx val="47812644"/>
        <c:crosses val="autoZero"/>
        <c:crossBetween val="between"/>
      </c:valAx>
      <c:spPr>
        <a:noFill/>
        <a:ln w="0">
          <a:solidFill>
            <a:srgbClr val="B3B3B3"/>
          </a:solid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gap"/>
    <c:showDLblsOverMax val="1"/>
  </c:chart>
  <c:spPr>
    <a:solidFill>
      <a:srgbClr val="FFFFFF"/>
    </a:solidFill>
    <a:ln w="0">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Number of Individual Awards By Type</a:t>
            </a:r>
          </a:p>
        </c:rich>
      </c:tx>
      <c:overlay val="0"/>
      <c:spPr>
        <a:noFill/>
        <a:ln w="0">
          <a:noFill/>
        </a:ln>
      </c:spPr>
    </c:title>
    <c:autoTitleDeleted val="0"/>
    <c:plotArea>
      <c:layout/>
      <c:pieChart>
        <c:varyColors val="1"/>
        <c:ser>
          <c:idx val="0"/>
          <c:order val="0"/>
          <c:tx>
            <c:strRef>
              <c:f>label 0</c:f>
              <c:strCache>
                <c:ptCount val="1"/>
                <c:pt idx="0">
                  <c:v>Column B</c:v>
                </c:pt>
              </c:strCache>
            </c:strRef>
          </c:tx>
          <c:spPr>
            <a:solidFill>
              <a:srgbClr val="004586"/>
            </a:solidFill>
            <a:ln w="0">
              <a:noFill/>
            </a:ln>
          </c:spPr>
          <c:dPt>
            <c:idx val="0"/>
            <c:bubble3D val="0"/>
            <c:extLst>
              <c:ext xmlns:c16="http://schemas.microsoft.com/office/drawing/2014/chart" uri="{C3380CC4-5D6E-409C-BE32-E72D297353CC}">
                <c16:uniqueId val="{00000001-75E5-439C-AD7F-7E5B2D16F2F9}"/>
              </c:ext>
            </c:extLst>
          </c:dPt>
          <c:dPt>
            <c:idx val="1"/>
            <c:bubble3D val="0"/>
            <c:spPr>
              <a:solidFill>
                <a:srgbClr val="FF420E"/>
              </a:solidFill>
              <a:ln w="0">
                <a:noFill/>
              </a:ln>
            </c:spPr>
            <c:extLst>
              <c:ext xmlns:c16="http://schemas.microsoft.com/office/drawing/2014/chart" uri="{C3380CC4-5D6E-409C-BE32-E72D297353CC}">
                <c16:uniqueId val="{00000003-75E5-439C-AD7F-7E5B2D16F2F9}"/>
              </c:ext>
            </c:extLst>
          </c:dPt>
          <c:dLbls>
            <c:dLbl>
              <c:idx val="0"/>
              <c:numFmt formatCode="General"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75E5-439C-AD7F-7E5B2D16F2F9}"/>
                </c:ext>
              </c:extLst>
            </c:dLbl>
            <c:dLbl>
              <c:idx val="1"/>
              <c:numFmt formatCode="General"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75E5-439C-AD7F-7E5B2D16F2F9}"/>
                </c:ext>
              </c:extLst>
            </c:dLbl>
            <c:numFmt formatCode="General"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outEnd"/>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2"/>
                <c:pt idx="0">
                  <c:v>Student</c:v>
                </c:pt>
                <c:pt idx="1">
                  <c:v>Sporting</c:v>
                </c:pt>
              </c:strCache>
            </c:strRef>
          </c:cat>
          <c:val>
            <c:numRef>
              <c:f>0</c:f>
              <c:numCache>
                <c:formatCode>General</c:formatCode>
                <c:ptCount val="2"/>
                <c:pt idx="0">
                  <c:v>133</c:v>
                </c:pt>
                <c:pt idx="1">
                  <c:v>13</c:v>
                </c:pt>
              </c:numCache>
            </c:numRef>
          </c:val>
          <c:extLst>
            <c:ext xmlns:c16="http://schemas.microsoft.com/office/drawing/2014/chart" uri="{C3380CC4-5D6E-409C-BE32-E72D297353CC}">
              <c16:uniqueId val="{00000004-75E5-439C-AD7F-7E5B2D16F2F9}"/>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Amount of Awards Granted By Type</a:t>
            </a:r>
          </a:p>
        </c:rich>
      </c:tx>
      <c:overlay val="0"/>
      <c:spPr>
        <a:noFill/>
        <a:ln w="0">
          <a:noFill/>
        </a:ln>
      </c:spPr>
    </c:title>
    <c:autoTitleDeleted val="0"/>
    <c:plotArea>
      <c:layout/>
      <c:pieChart>
        <c:varyColors val="1"/>
        <c:ser>
          <c:idx val="0"/>
          <c:order val="0"/>
          <c:tx>
            <c:strRef>
              <c:f>label 0</c:f>
              <c:strCache>
                <c:ptCount val="1"/>
                <c:pt idx="0">
                  <c:v>Column C</c:v>
                </c:pt>
              </c:strCache>
            </c:strRef>
          </c:tx>
          <c:spPr>
            <a:solidFill>
              <a:srgbClr val="004586"/>
            </a:solidFill>
            <a:ln w="0">
              <a:noFill/>
            </a:ln>
          </c:spPr>
          <c:dPt>
            <c:idx val="0"/>
            <c:bubble3D val="0"/>
            <c:extLst>
              <c:ext xmlns:c16="http://schemas.microsoft.com/office/drawing/2014/chart" uri="{C3380CC4-5D6E-409C-BE32-E72D297353CC}">
                <c16:uniqueId val="{00000001-EB30-4E77-9044-E87C0C644F58}"/>
              </c:ext>
            </c:extLst>
          </c:dPt>
          <c:dPt>
            <c:idx val="1"/>
            <c:bubble3D val="0"/>
            <c:spPr>
              <a:solidFill>
                <a:srgbClr val="FF420E"/>
              </a:solidFill>
              <a:ln w="0">
                <a:noFill/>
              </a:ln>
            </c:spPr>
            <c:extLst>
              <c:ext xmlns:c16="http://schemas.microsoft.com/office/drawing/2014/chart" uri="{C3380CC4-5D6E-409C-BE32-E72D297353CC}">
                <c16:uniqueId val="{00000003-EB30-4E77-9044-E87C0C644F58}"/>
              </c:ext>
            </c:extLst>
          </c:dPt>
          <c:dLbls>
            <c:dLbl>
              <c:idx val="0"/>
              <c:numFmt formatCode="[$£-809]#,##0;[Red]\-[$£-809]#,##0"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EB30-4E77-9044-E87C0C644F58}"/>
                </c:ext>
              </c:extLst>
            </c:dLbl>
            <c:dLbl>
              <c:idx val="1"/>
              <c:numFmt formatCode="[$£-809]#,##0;[Red]\-[$£-809]#,##0" sourceLinked="0"/>
              <c:spPr/>
              <c:txPr>
                <a:bodyPr wrap="none"/>
                <a:lstStyle/>
                <a:p>
                  <a:pPr>
                    <a:defRPr lang="en-GB" sz="1000" b="0" u="none" strike="noStrike">
                      <a:solidFill>
                        <a:srgbClr val="000000"/>
                      </a:solidFill>
                      <a:uFillTx/>
                      <a:latin typeface="Arial"/>
                    </a:defRPr>
                  </a:pPr>
                  <a:endParaRPr lang="en-US"/>
                </a:p>
              </c:txPr>
              <c:dLblPos val="outEnd"/>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EB30-4E77-9044-E87C0C644F58}"/>
                </c:ext>
              </c:extLst>
            </c:dLbl>
            <c:numFmt formatCode="[$£-809]#,##0;[Red]\-[$£-809]#,##0" sourceLinked="0"/>
            <c:spPr>
              <a:noFill/>
              <a:ln>
                <a:noFill/>
              </a:ln>
              <a:effectLst/>
            </c:spPr>
            <c:txPr>
              <a:bodyPr wrap="none"/>
              <a:lstStyle/>
              <a:p>
                <a:pPr>
                  <a:defRPr lang="en-GB" sz="1000" b="0" u="none" strike="noStrike">
                    <a:solidFill>
                      <a:srgbClr val="000000"/>
                    </a:solidFill>
                    <a:uFillTx/>
                    <a:latin typeface="Arial"/>
                    <a:ea typeface="DejaVu Sans"/>
                  </a:defRPr>
                </a:pPr>
                <a:endParaRPr lang="en-US"/>
              </a:p>
            </c:txPr>
            <c:dLblPos val="outEnd"/>
            <c:showLegendKey val="0"/>
            <c:showVal val="1"/>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2"/>
                <c:pt idx="0">
                  <c:v>Student</c:v>
                </c:pt>
                <c:pt idx="1">
                  <c:v>Sporting</c:v>
                </c:pt>
              </c:strCache>
            </c:strRef>
          </c:cat>
          <c:val>
            <c:numRef>
              <c:f>0</c:f>
              <c:numCache>
                <c:formatCode>General</c:formatCode>
                <c:ptCount val="2"/>
                <c:pt idx="0">
                  <c:v>55530.12</c:v>
                </c:pt>
                <c:pt idx="1">
                  <c:v>3750</c:v>
                </c:pt>
              </c:numCache>
            </c:numRef>
          </c:val>
          <c:extLst>
            <c:ext xmlns:c16="http://schemas.microsoft.com/office/drawing/2014/chart" uri="{C3380CC4-5D6E-409C-BE32-E72D297353CC}">
              <c16:uniqueId val="{00000004-EB30-4E77-9044-E87C0C644F58}"/>
            </c:ext>
          </c:extLst>
        </c:ser>
        <c:dLbls>
          <c:showLegendKey val="0"/>
          <c:showVal val="0"/>
          <c:showCatName val="0"/>
          <c:showSerName val="0"/>
          <c:showPercent val="0"/>
          <c:showBubbleSize val="0"/>
          <c:showLeaderLines val="1"/>
        </c:dLbls>
        <c:firstSliceAng val="0"/>
      </c:pieChart>
      <c:spPr>
        <a:noFill/>
        <a:ln w="0">
          <a:no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zero"/>
    <c:showDLblsOverMax val="1"/>
  </c:chart>
  <c:spPr>
    <a:solidFill>
      <a:srgbClr val="FFFFFF"/>
    </a:solidFill>
    <a:ln w="0">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c:style val="2"/>
  <c:chart>
    <c:title>
      <c:tx>
        <c:rich>
          <a:bodyPr rot="0"/>
          <a:lstStyle/>
          <a:p>
            <a:pPr>
              <a:defRPr lang="en-GB" sz="1300" b="0" u="none" strike="noStrike">
                <a:uFillTx/>
                <a:latin typeface="Arial"/>
              </a:defRPr>
            </a:pPr>
            <a:r>
              <a:rPr lang="en-GB" sz="1300" b="0" u="none" strike="noStrike">
                <a:solidFill>
                  <a:srgbClr val="000000"/>
                </a:solidFill>
                <a:uFillTx/>
                <a:latin typeface="Arial"/>
                <a:ea typeface="DejaVu Sans"/>
              </a:rPr>
              <a:t>Number of Individuals Receiving Single or Multiple Awards</a:t>
            </a:r>
          </a:p>
        </c:rich>
      </c:tx>
      <c:overlay val="0"/>
      <c:spPr>
        <a:noFill/>
        <a:ln w="0">
          <a:noFill/>
        </a:ln>
      </c:spPr>
    </c:title>
    <c:autoTitleDeleted val="0"/>
    <c:plotArea>
      <c:layout/>
      <c:barChart>
        <c:barDir val="col"/>
        <c:grouping val="stacked"/>
        <c:varyColors val="0"/>
        <c:ser>
          <c:idx val="0"/>
          <c:order val="0"/>
          <c:tx>
            <c:strRef>
              <c:f>label 0</c:f>
              <c:strCache>
                <c:ptCount val="1"/>
                <c:pt idx="0">
                  <c:v>Student</c:v>
                </c:pt>
              </c:strCache>
            </c:strRef>
          </c:tx>
          <c:spPr>
            <a:solidFill>
              <a:srgbClr val="004586"/>
            </a:solidFill>
            <a:ln w="0">
              <a:noFill/>
            </a:ln>
          </c:spPr>
          <c:invertIfNegative val="0"/>
          <c:dPt>
            <c:idx val="0"/>
            <c:invertIfNegative val="0"/>
            <c:bubble3D val="0"/>
            <c:extLst>
              <c:ext xmlns:c16="http://schemas.microsoft.com/office/drawing/2014/chart" uri="{C3380CC4-5D6E-409C-BE32-E72D297353CC}">
                <c16:uniqueId val="{00000001-3DD9-4725-B3CC-C4A1BEDE95A9}"/>
              </c:ext>
            </c:extLst>
          </c:dPt>
          <c:dLbls>
            <c:dLbl>
              <c:idx val="0"/>
              <c:numFmt formatCode="General" sourceLinked="0"/>
              <c:spPr/>
              <c:txPr>
                <a:bodyPr wrap="none"/>
                <a:lstStyle/>
                <a:p>
                  <a:pPr>
                    <a:defRPr lang="en-GB" sz="1000" b="0" u="none" strike="noStrike">
                      <a:solidFill>
                        <a:srgbClr val="FFFFFF"/>
                      </a:solidFill>
                      <a:uFillTx/>
                      <a:latin typeface="Arial"/>
                    </a:defRPr>
                  </a:pPr>
                  <a:endParaRPr lang="en-US"/>
                </a:p>
              </c:txPr>
              <c:dLblPos val="ctr"/>
              <c:showLegendKey val="0"/>
              <c:showVal val="1"/>
              <c:showCatName val="0"/>
              <c:showSerName val="0"/>
              <c:showPercent val="0"/>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3DD9-4725-B3CC-C4A1BEDE95A9}"/>
                </c:ext>
              </c:extLst>
            </c:dLbl>
            <c:numFmt formatCode="General" sourceLinked="0"/>
            <c:spPr>
              <a:noFill/>
              <a:ln>
                <a:noFill/>
              </a:ln>
              <a:effectLst/>
            </c:spPr>
            <c:txPr>
              <a:bodyPr wrap="none"/>
              <a:lstStyle/>
              <a:p>
                <a:pPr>
                  <a:defRPr lang="en-GB" sz="1000" b="0" u="none" strike="noStrike">
                    <a:solidFill>
                      <a:srgbClr val="FFFFFF"/>
                    </a:solidFill>
                    <a:uFillTx/>
                    <a:latin typeface="Arial"/>
                    <a:ea typeface="DejaVu Sans"/>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1</c:v>
                </c:pt>
                <c:pt idx="1">
                  <c:v>2</c:v>
                </c:pt>
                <c:pt idx="2">
                  <c:v>3</c:v>
                </c:pt>
              </c:strCache>
            </c:strRef>
          </c:cat>
          <c:val>
            <c:numRef>
              <c:f>0</c:f>
              <c:numCache>
                <c:formatCode>General</c:formatCode>
                <c:ptCount val="3"/>
                <c:pt idx="0">
                  <c:v>35</c:v>
                </c:pt>
                <c:pt idx="1">
                  <c:v>20</c:v>
                </c:pt>
                <c:pt idx="2">
                  <c:v>16</c:v>
                </c:pt>
              </c:numCache>
            </c:numRef>
          </c:val>
          <c:extLst>
            <c:ext xmlns:c16="http://schemas.microsoft.com/office/drawing/2014/chart" uri="{C3380CC4-5D6E-409C-BE32-E72D297353CC}">
              <c16:uniqueId val="{00000002-3DD9-4725-B3CC-C4A1BEDE95A9}"/>
            </c:ext>
          </c:extLst>
        </c:ser>
        <c:ser>
          <c:idx val="1"/>
          <c:order val="1"/>
          <c:tx>
            <c:strRef>
              <c:f>label 1</c:f>
              <c:strCache>
                <c:ptCount val="1"/>
                <c:pt idx="0">
                  <c:v>Sporting</c:v>
                </c:pt>
              </c:strCache>
            </c:strRef>
          </c:tx>
          <c:spPr>
            <a:solidFill>
              <a:srgbClr val="FF420E"/>
            </a:solidFill>
            <a:ln w="0">
              <a:noFill/>
            </a:ln>
          </c:spPr>
          <c:invertIfNegative val="0"/>
          <c:dLbls>
            <c:numFmt formatCode="General" sourceLinked="0"/>
            <c:spPr>
              <a:noFill/>
              <a:ln>
                <a:noFill/>
              </a:ln>
              <a:effectLst/>
            </c:spPr>
            <c:txPr>
              <a:bodyPr wrap="none"/>
              <a:lstStyle/>
              <a:p>
                <a:pPr>
                  <a:defRPr lang="en-GB" sz="1000" b="0" u="none" strike="noStrike">
                    <a:solidFill>
                      <a:srgbClr val="FFFFFF"/>
                    </a:solidFill>
                    <a:uFillTx/>
                    <a:latin typeface="Arial"/>
                    <a:ea typeface="DejaVu Sans"/>
                  </a:defRPr>
                </a:pPr>
                <a:endParaRPr lang="en-US"/>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categories</c:f>
              <c:strCache>
                <c:ptCount val="3"/>
                <c:pt idx="0">
                  <c:v>1</c:v>
                </c:pt>
                <c:pt idx="1">
                  <c:v>2</c:v>
                </c:pt>
                <c:pt idx="2">
                  <c:v>3</c:v>
                </c:pt>
              </c:strCache>
            </c:strRef>
          </c:cat>
          <c:val>
            <c:numRef>
              <c:f>1</c:f>
              <c:numCache>
                <c:formatCode>General</c:formatCode>
                <c:ptCount val="3"/>
                <c:pt idx="0">
                  <c:v>2</c:v>
                </c:pt>
                <c:pt idx="1">
                  <c:v>1</c:v>
                </c:pt>
                <c:pt idx="2">
                  <c:v>2</c:v>
                </c:pt>
              </c:numCache>
            </c:numRef>
          </c:val>
          <c:extLst>
            <c:ext xmlns:c16="http://schemas.microsoft.com/office/drawing/2014/chart" uri="{C3380CC4-5D6E-409C-BE32-E72D297353CC}">
              <c16:uniqueId val="{00000003-3DD9-4725-B3CC-C4A1BEDE95A9}"/>
            </c:ext>
          </c:extLst>
        </c:ser>
        <c:dLbls>
          <c:showLegendKey val="0"/>
          <c:showVal val="0"/>
          <c:showCatName val="0"/>
          <c:showSerName val="0"/>
          <c:showPercent val="0"/>
          <c:showBubbleSize val="0"/>
        </c:dLbls>
        <c:gapWidth val="100"/>
        <c:overlap val="100"/>
        <c:axId val="74483029"/>
        <c:axId val="68177160"/>
      </c:barChart>
      <c:catAx>
        <c:axId val="74483029"/>
        <c:scaling>
          <c:orientation val="minMax"/>
        </c:scaling>
        <c:delete val="1"/>
        <c:axPos val="b"/>
        <c:title>
          <c:tx>
            <c:rich>
              <a:bodyPr rot="0"/>
              <a:lstStyle/>
              <a:p>
                <a:pPr>
                  <a:defRPr lang="en-GB" sz="1300" b="0" u="none" strike="noStrike">
                    <a:uFillTx/>
                    <a:latin typeface="Arial"/>
                  </a:defRPr>
                </a:pPr>
                <a:r>
                  <a:rPr lang="en-GB" sz="900" b="0" u="none" strike="noStrike">
                    <a:solidFill>
                      <a:srgbClr val="000000"/>
                    </a:solidFill>
                    <a:uFillTx/>
                    <a:latin typeface="Arial"/>
                    <a:ea typeface="DejaVu Sans"/>
                  </a:rPr>
                  <a:t>Number of Awards 1, 2, 3 or more</a:t>
                </a:r>
              </a:p>
            </c:rich>
          </c:tx>
          <c:overlay val="0"/>
          <c:spPr>
            <a:noFill/>
            <a:ln w="0">
              <a:noFill/>
            </a:ln>
          </c:spPr>
        </c:title>
        <c:numFmt formatCode="General" sourceLinked="1"/>
        <c:majorTickMark val="out"/>
        <c:minorTickMark val="none"/>
        <c:tickLblPos val="nextTo"/>
        <c:crossAx val="68177160"/>
        <c:crosses val="autoZero"/>
        <c:auto val="1"/>
        <c:lblAlgn val="ctr"/>
        <c:lblOffset val="100"/>
        <c:noMultiLvlLbl val="0"/>
      </c:catAx>
      <c:valAx>
        <c:axId val="68177160"/>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lang="en-GB" sz="1000" b="0" u="none" strike="noStrike">
                <a:solidFill>
                  <a:srgbClr val="000000"/>
                </a:solidFill>
                <a:uFillTx/>
                <a:latin typeface="Arial"/>
                <a:ea typeface="DejaVu Sans"/>
              </a:defRPr>
            </a:pPr>
            <a:endParaRPr lang="en-US"/>
          </a:p>
        </c:txPr>
        <c:crossAx val="74483029"/>
        <c:crosses val="autoZero"/>
        <c:crossBetween val="between"/>
      </c:valAx>
      <c:spPr>
        <a:noFill/>
        <a:ln w="0">
          <a:solidFill>
            <a:srgbClr val="B3B3B3"/>
          </a:solidFill>
        </a:ln>
      </c:spPr>
    </c:plotArea>
    <c:legend>
      <c:legendPos val="r"/>
      <c:overlay val="0"/>
      <c:spPr>
        <a:noFill/>
        <a:ln w="0">
          <a:noFill/>
        </a:ln>
      </c:spPr>
      <c:txPr>
        <a:bodyPr/>
        <a:lstStyle/>
        <a:p>
          <a:pPr>
            <a:defRPr lang="en-GB" sz="1000" b="0" u="none" strike="noStrike">
              <a:solidFill>
                <a:srgbClr val="000000"/>
              </a:solidFill>
              <a:uFillTx/>
              <a:latin typeface="Arial"/>
              <a:ea typeface="DejaVu Sans"/>
            </a:defRPr>
          </a:pPr>
          <a:endParaRPr lang="en-US"/>
        </a:p>
      </c:txPr>
    </c:legend>
    <c:plotVisOnly val="1"/>
    <c:dispBlanksAs val="gap"/>
    <c:showDLblsOverMax val="1"/>
  </c:chart>
  <c:spPr>
    <a:solidFill>
      <a:srgbClr val="FFFFFF"/>
    </a:solidFill>
    <a:ln w="0">
      <a:noFill/>
    </a:ln>
  </c:spPr>
</c:chartSpace>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Calum Martin (Marketing Officer)</cp:lastModifiedBy>
  <cp:revision>2</cp:revision>
  <dcterms:created xsi:type="dcterms:W3CDTF">2025-04-15T09:42:00Z</dcterms:created>
  <dcterms:modified xsi:type="dcterms:W3CDTF">2025-04-15T09:42:00Z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2025-01-13T14:02:00Z</dcterms:created>
  <dc:creator>Caroline Tucker</dc:creator>
  <dc:description/>
  <dc:language>en-GB</dc:language>
  <cp:lastModifiedBy>Jewels Lang</cp:lastModifiedBy>
  <dcterms:modified xsi:type="dcterms:W3CDTF">2025-04-10T20:14:09Z</dcterms:modified>
  <cp:revision>27</cp:revision>
  <dc:subject/>
  <dc:title/>
</cp:coreProperties>
</file>